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bidi w:val="0"/>
        <w:spacing w:lineRule="exact" w:line="320" w:before="180" w:after="0"/>
        <w:ind w:left="624" w:right="0" w:hanging="624"/>
        <w:jc w:val="center"/>
        <w:textAlignment w:val="baseline"/>
        <w:outlineLvl w:val="0"/>
        <w:rPr>
          <w:rFonts w:ascii="標楷體" w:hAnsi="標楷體" w:eastAsia="標楷體" w:cs="標楷體"/>
          <w:b/>
          <w:b/>
          <w:kern w:val="2"/>
          <w:sz w:val="32"/>
          <w:szCs w:val="32"/>
        </w:rPr>
      </w:pPr>
      <w:r>
        <w:rPr>
          <w:rFonts w:ascii="標楷體" w:hAnsi="標楷體" w:cs="標楷體" w:eastAsia="標楷體"/>
          <w:b/>
          <w:kern w:val="2"/>
          <w:sz w:val="32"/>
          <w:szCs w:val="32"/>
        </w:rPr>
        <w:t>經濟部水利署施工規範</w:t>
      </w:r>
    </w:p>
    <w:p>
      <w:pPr>
        <w:pStyle w:val="Normal"/>
        <w:numPr>
          <w:ilvl w:val="0"/>
          <w:numId w:val="0"/>
        </w:numPr>
        <w:bidi w:val="0"/>
        <w:spacing w:lineRule="exact" w:line="320" w:before="180" w:after="0"/>
        <w:ind w:left="624" w:right="0" w:hanging="624"/>
        <w:jc w:val="center"/>
        <w:textAlignment w:val="baseline"/>
        <w:outlineLvl w:val="0"/>
        <w:rPr>
          <w:rFonts w:ascii="標楷體" w:hAnsi="標楷體" w:eastAsia="標楷體" w:cs="標楷體"/>
          <w:b w:val="false"/>
          <w:b w:val="false"/>
          <w:bCs w:val="false"/>
          <w:color w:val="000000"/>
          <w:kern w:val="2"/>
          <w:sz w:val="32"/>
          <w:szCs w:val="32"/>
        </w:rPr>
      </w:pPr>
      <w:r>
        <w:rPr>
          <w:rFonts w:ascii="標楷體" w:hAnsi="標楷體" w:cs="標楷體" w:eastAsia="標楷體"/>
          <w:b w:val="false"/>
          <w:bCs w:val="false"/>
          <w:color w:val="000000"/>
          <w:kern w:val="2"/>
          <w:sz w:val="32"/>
          <w:szCs w:val="32"/>
        </w:rPr>
        <w:t>第</w:t>
      </w:r>
      <w:r>
        <w:rPr>
          <w:rFonts w:eastAsia="標楷體" w:cs="標楷體" w:ascii="標楷體" w:hAnsi="標楷體"/>
          <w:b w:val="false"/>
          <w:bCs w:val="false"/>
          <w:color w:val="000000"/>
          <w:kern w:val="2"/>
          <w:sz w:val="32"/>
          <w:szCs w:val="32"/>
        </w:rPr>
        <w:t>03438</w:t>
      </w:r>
      <w:r>
        <w:rPr>
          <w:rFonts w:ascii="標楷體" w:hAnsi="標楷體" w:cs="標楷體" w:eastAsia="標楷體"/>
          <w:b w:val="false"/>
          <w:bCs w:val="false"/>
          <w:color w:val="000000"/>
          <w:kern w:val="2"/>
          <w:sz w:val="32"/>
          <w:szCs w:val="32"/>
        </w:rPr>
        <w:t>章 混凝土塊</w:t>
      </w:r>
    </w:p>
    <w:p>
      <w:pPr>
        <w:pStyle w:val="Normal"/>
        <w:numPr>
          <w:ilvl w:val="0"/>
          <w:numId w:val="0"/>
        </w:numPr>
        <w:bidi w:val="0"/>
        <w:spacing w:lineRule="exact" w:line="280" w:before="90" w:after="0"/>
        <w:ind w:left="1543" w:right="0" w:hanging="590"/>
        <w:jc w:val="right"/>
        <w:outlineLvl w:val="2"/>
        <w:rPr>
          <w:rFonts w:ascii="標楷體" w:hAnsi="標楷體" w:eastAsia="標楷體" w:cs="標楷體"/>
          <w:bCs/>
          <w:kern w:val="0"/>
          <w:sz w:val="20"/>
          <w:szCs w:val="20"/>
        </w:rPr>
      </w:pPr>
      <w:r>
        <w:rPr>
          <w:rFonts w:eastAsia="標楷體" w:cs="標楷體" w:ascii="標楷體" w:hAnsi="標楷體"/>
          <w:bCs/>
          <w:kern w:val="0"/>
          <w:sz w:val="20"/>
          <w:szCs w:val="20"/>
        </w:rPr>
        <w:t>108</w:t>
      </w:r>
      <w:r>
        <w:rPr>
          <w:rFonts w:ascii="標楷體" w:hAnsi="標楷體" w:cs="標楷體" w:eastAsia="標楷體"/>
          <w:bCs/>
          <w:kern w:val="0"/>
          <w:sz w:val="20"/>
          <w:szCs w:val="20"/>
        </w:rPr>
        <w:t>年</w:t>
      </w:r>
      <w:r>
        <w:rPr>
          <w:rFonts w:eastAsia="標楷體" w:cs="標楷體" w:ascii="標楷體" w:hAnsi="標楷體"/>
          <w:bCs/>
          <w:kern w:val="0"/>
          <w:sz w:val="20"/>
          <w:szCs w:val="20"/>
        </w:rPr>
        <w:t>06</w:t>
      </w:r>
      <w:r>
        <w:rPr>
          <w:rFonts w:ascii="標楷體" w:hAnsi="標楷體" w:cs="標楷體" w:eastAsia="標楷體"/>
          <w:bCs/>
          <w:kern w:val="0"/>
          <w:sz w:val="20"/>
          <w:szCs w:val="20"/>
        </w:rPr>
        <w:t>月</w:t>
      </w:r>
      <w:r>
        <w:rPr>
          <w:rFonts w:eastAsia="標楷體" w:cs="標楷體" w:ascii="標楷體" w:hAnsi="標楷體"/>
          <w:bCs/>
          <w:kern w:val="0"/>
          <w:sz w:val="20"/>
          <w:szCs w:val="20"/>
        </w:rPr>
        <w:t>03</w:t>
      </w:r>
      <w:r>
        <w:rPr>
          <w:rFonts w:ascii="標楷體" w:hAnsi="標楷體" w:cs="標楷體" w:eastAsia="標楷體"/>
          <w:bCs/>
          <w:kern w:val="0"/>
          <w:sz w:val="20"/>
          <w:szCs w:val="20"/>
        </w:rPr>
        <w:t>日經水工字第</w:t>
      </w:r>
      <w:r>
        <w:rPr>
          <w:rFonts w:eastAsia="標楷體" w:cs="標楷體" w:ascii="標楷體" w:hAnsi="標楷體"/>
          <w:bCs/>
          <w:kern w:val="0"/>
          <w:sz w:val="20"/>
          <w:szCs w:val="20"/>
        </w:rPr>
        <w:t>10805091840</w:t>
      </w:r>
      <w:r>
        <w:rPr>
          <w:rFonts w:ascii="標楷體" w:hAnsi="標楷體" w:cs="標楷體" w:eastAsia="標楷體"/>
          <w:bCs/>
          <w:kern w:val="0"/>
          <w:sz w:val="20"/>
          <w:szCs w:val="20"/>
        </w:rPr>
        <w:t>號函頒訂</w:t>
      </w:r>
    </w:p>
    <w:p>
      <w:pPr>
        <w:pStyle w:val="Normal"/>
        <w:numPr>
          <w:ilvl w:val="0"/>
          <w:numId w:val="0"/>
        </w:numPr>
        <w:bidi w:val="0"/>
        <w:spacing w:lineRule="exact" w:line="280" w:before="90" w:after="0"/>
        <w:ind w:left="1543" w:right="0" w:hanging="590"/>
        <w:jc w:val="right"/>
        <w:outlineLvl w:val="2"/>
        <w:rPr>
          <w:rFonts w:ascii="標楷體" w:hAnsi="標楷體" w:eastAsia="標楷體" w:cs="標楷體"/>
          <w:bCs/>
          <w:color w:val="000000"/>
          <w:kern w:val="0"/>
          <w:sz w:val="20"/>
          <w:szCs w:val="20"/>
        </w:rPr>
      </w:pPr>
      <w:r>
        <w:rPr>
          <w:rFonts w:eastAsia="標楷體" w:cs="標楷體" w:ascii="標楷體" w:hAnsi="標楷體"/>
          <w:bCs/>
          <w:color w:val="000000"/>
          <w:kern w:val="0"/>
          <w:sz w:val="20"/>
          <w:szCs w:val="20"/>
        </w:rPr>
        <w:t>110</w:t>
      </w:r>
      <w:r>
        <w:rPr>
          <w:rFonts w:ascii="標楷體" w:hAnsi="標楷體" w:cs="標楷體" w:eastAsia="標楷體"/>
          <w:bCs/>
          <w:color w:val="000000"/>
          <w:kern w:val="0"/>
          <w:sz w:val="20"/>
          <w:szCs w:val="20"/>
        </w:rPr>
        <w:t>年</w:t>
      </w:r>
      <w:r>
        <w:rPr>
          <w:rFonts w:eastAsia="標楷體" w:cs="標楷體" w:ascii="標楷體" w:hAnsi="標楷體"/>
          <w:bCs/>
          <w:color w:val="000000"/>
          <w:kern w:val="0"/>
          <w:sz w:val="20"/>
          <w:szCs w:val="20"/>
        </w:rPr>
        <w:t>11</w:t>
      </w:r>
      <w:r>
        <w:rPr>
          <w:rFonts w:ascii="標楷體" w:hAnsi="標楷體" w:cs="標楷體" w:eastAsia="標楷體"/>
          <w:bCs/>
          <w:color w:val="000000"/>
          <w:kern w:val="0"/>
          <w:sz w:val="20"/>
          <w:szCs w:val="20"/>
        </w:rPr>
        <w:t>月</w:t>
      </w:r>
      <w:r>
        <w:rPr>
          <w:rFonts w:eastAsia="標楷體" w:cs="標楷體" w:ascii="標楷體" w:hAnsi="標楷體"/>
          <w:bCs/>
          <w:color w:val="000000"/>
          <w:kern w:val="0"/>
          <w:sz w:val="20"/>
          <w:szCs w:val="20"/>
        </w:rPr>
        <w:t>0</w:t>
      </w:r>
      <w:r>
        <w:rPr>
          <w:rFonts w:eastAsia="標楷體" w:cs="標楷體" w:ascii="標楷體" w:hAnsi="標楷體"/>
          <w:bCs/>
          <w:color w:val="000000"/>
          <w:kern w:val="0"/>
          <w:sz w:val="20"/>
          <w:szCs w:val="20"/>
        </w:rPr>
        <w:t>5</w:t>
      </w:r>
      <w:r>
        <w:rPr>
          <w:rFonts w:ascii="標楷體" w:hAnsi="標楷體" w:cs="標楷體" w:eastAsia="標楷體"/>
          <w:bCs/>
          <w:color w:val="000000"/>
          <w:kern w:val="0"/>
          <w:sz w:val="20"/>
          <w:szCs w:val="20"/>
        </w:rPr>
        <w:t>日經水工字第</w:t>
      </w:r>
      <w:r>
        <w:rPr>
          <w:rFonts w:eastAsia="標楷體" w:cs="標楷體" w:ascii="標楷體" w:hAnsi="標楷體"/>
          <w:bCs/>
          <w:color w:val="000000"/>
          <w:kern w:val="0"/>
          <w:sz w:val="20"/>
          <w:szCs w:val="20"/>
        </w:rPr>
        <w:t>110</w:t>
      </w:r>
      <w:r>
        <w:rPr>
          <w:rFonts w:eastAsia="標楷體" w:cs="標楷體" w:ascii="標楷體" w:hAnsi="標楷體"/>
          <w:bCs/>
          <w:color w:val="000000"/>
          <w:kern w:val="0"/>
          <w:sz w:val="20"/>
          <w:szCs w:val="20"/>
        </w:rPr>
        <w:t>05328520</w:t>
      </w:r>
      <w:r>
        <w:rPr>
          <w:rFonts w:ascii="標楷體" w:hAnsi="標楷體" w:cs="標楷體" w:eastAsia="標楷體"/>
          <w:bCs/>
          <w:color w:val="000000"/>
          <w:kern w:val="0"/>
          <w:sz w:val="20"/>
          <w:szCs w:val="20"/>
        </w:rPr>
        <w:t>號函修訂</w:t>
      </w:r>
    </w:p>
    <w:p>
      <w:pPr>
        <w:pStyle w:val="1"/>
        <w:bidi w:val="0"/>
        <w:spacing w:lineRule="exact" w:line="800"/>
        <w:ind w:left="964" w:right="0" w:hanging="964"/>
        <w:rPr>
          <w:b/>
          <w:b/>
        </w:rPr>
      </w:pPr>
      <w:r>
        <w:rPr>
          <w:b/>
        </w:rPr>
        <w:t>1.</w:t>
        <w:tab/>
      </w:r>
      <w:r>
        <w:rPr>
          <w:b/>
        </w:rPr>
        <w:t>通則</w:t>
      </w:r>
    </w:p>
    <w:p>
      <w:pPr>
        <w:pStyle w:val="11"/>
        <w:bidi w:val="0"/>
        <w:spacing w:lineRule="exact" w:line="500" w:before="180" w:after="0"/>
        <w:ind w:left="0" w:right="0" w:hanging="0"/>
        <w:rPr>
          <w:rFonts w:ascii="標楷體" w:hAnsi="標楷體" w:eastAsia="標楷體" w:cs="標楷體"/>
          <w:sz w:val="28"/>
          <w:szCs w:val="28"/>
        </w:rPr>
      </w:pPr>
      <w:r>
        <w:rPr>
          <w:rFonts w:eastAsia="標楷體" w:cs="標楷體" w:ascii="標楷體" w:hAnsi="標楷體"/>
          <w:sz w:val="28"/>
          <w:szCs w:val="28"/>
        </w:rPr>
        <w:t>1.1</w:t>
        <w:tab/>
        <w:t xml:space="preserve">   </w:t>
      </w:r>
      <w:r>
        <w:rPr>
          <w:rFonts w:ascii="標楷體" w:hAnsi="標楷體" w:cs="標楷體" w:eastAsia="標楷體"/>
          <w:sz w:val="28"/>
          <w:szCs w:val="28"/>
        </w:rPr>
        <w:t>本章概要</w:t>
      </w:r>
    </w:p>
    <w:p>
      <w:pPr>
        <w:pStyle w:val="Style18"/>
        <w:bidi w:val="0"/>
        <w:spacing w:lineRule="exact" w:line="500"/>
        <w:ind w:left="964" w:right="0" w:hanging="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說明混凝土塊之材料、施工、檢驗與吊放等相關規定。</w:t>
      </w:r>
    </w:p>
    <w:p>
      <w:pPr>
        <w:pStyle w:val="11"/>
        <w:bidi w:val="0"/>
        <w:spacing w:lineRule="exact" w:line="500" w:before="180" w:after="0"/>
        <w:ind w:left="0" w:right="0" w:hanging="0"/>
        <w:rPr>
          <w:rFonts w:ascii="標楷體" w:hAnsi="標楷體" w:eastAsia="標楷體" w:cs="標楷體"/>
          <w:sz w:val="28"/>
          <w:szCs w:val="28"/>
        </w:rPr>
      </w:pPr>
      <w:r>
        <w:rPr>
          <w:rFonts w:eastAsia="標楷體" w:cs="標楷體" w:ascii="標楷體" w:hAnsi="標楷體"/>
          <w:sz w:val="28"/>
          <w:szCs w:val="28"/>
        </w:rPr>
        <w:t>1.2</w:t>
        <w:tab/>
        <w:t xml:space="preserve">   </w:t>
      </w:r>
      <w:r>
        <w:rPr>
          <w:rFonts w:ascii="標楷體" w:hAnsi="標楷體" w:cs="標楷體" w:eastAsia="標楷體"/>
          <w:sz w:val="28"/>
          <w:szCs w:val="28"/>
        </w:rPr>
        <w:t>工作範圍</w:t>
      </w:r>
    </w:p>
    <w:p>
      <w:pPr>
        <w:pStyle w:val="Style18"/>
        <w:bidi w:val="0"/>
        <w:spacing w:lineRule="exact" w:line="500"/>
        <w:ind w:left="964" w:right="0" w:hanging="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混凝土塊包含三腳鼎塊、元鼎塊、協克塊、安卡塊，及其他型式之混凝土異型塊，詳細尺度、排列方式按契約圖說辦理。</w:t>
      </w:r>
    </w:p>
    <w:p>
      <w:pPr>
        <w:pStyle w:val="11"/>
        <w:bidi w:val="0"/>
        <w:spacing w:lineRule="exact" w:line="500" w:before="180" w:after="0"/>
        <w:ind w:left="0" w:right="0" w:hanging="0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1.3</w:t>
        <w:tab/>
        <w:t xml:space="preserve">   </w:t>
      </w:r>
      <w:r>
        <w:rPr>
          <w:rFonts w:cs="標楷體"/>
          <w:sz w:val="28"/>
          <w:szCs w:val="28"/>
        </w:rPr>
        <w:t>相關章節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1.3.1</w:t>
        <w:tab/>
      </w:r>
      <w:r>
        <w:rPr>
          <w:rFonts w:cs="標楷體"/>
          <w:sz w:val="28"/>
          <w:szCs w:val="28"/>
        </w:rPr>
        <w:t>水利署施工規範第</w:t>
      </w:r>
      <w:r>
        <w:rPr>
          <w:rFonts w:cs="標楷體"/>
          <w:sz w:val="28"/>
          <w:szCs w:val="28"/>
        </w:rPr>
        <w:t>03210</w:t>
      </w:r>
      <w:r>
        <w:rPr>
          <w:rFonts w:cs="標楷體"/>
          <w:sz w:val="28"/>
          <w:szCs w:val="28"/>
        </w:rPr>
        <w:t>章 鋼筋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1.3.2</w:t>
        <w:tab/>
      </w:r>
      <w:r>
        <w:rPr>
          <w:rFonts w:cs="標楷體"/>
          <w:sz w:val="28"/>
          <w:szCs w:val="28"/>
        </w:rPr>
        <w:t>水利署施工規範第</w:t>
      </w:r>
      <w:r>
        <w:rPr>
          <w:rFonts w:cs="標楷體"/>
          <w:sz w:val="28"/>
          <w:szCs w:val="28"/>
        </w:rPr>
        <w:t>03310</w:t>
      </w:r>
      <w:r>
        <w:rPr>
          <w:rFonts w:cs="標楷體"/>
          <w:sz w:val="28"/>
          <w:szCs w:val="28"/>
        </w:rPr>
        <w:t>章 結構用混凝土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1.3.3  </w:t>
      </w:r>
      <w:r>
        <w:rPr>
          <w:rFonts w:cs="標楷體"/>
          <w:sz w:val="28"/>
          <w:szCs w:val="28"/>
        </w:rPr>
        <w:t>水利署施工規範第</w:t>
      </w:r>
      <w:r>
        <w:rPr>
          <w:rFonts w:cs="標楷體"/>
          <w:sz w:val="28"/>
          <w:szCs w:val="28"/>
        </w:rPr>
        <w:t>03801</w:t>
      </w:r>
      <w:r>
        <w:rPr>
          <w:rFonts w:cs="標楷體"/>
          <w:sz w:val="28"/>
          <w:szCs w:val="28"/>
        </w:rPr>
        <w:t>章 水庫淤泥混凝土</w:t>
      </w:r>
    </w:p>
    <w:p>
      <w:pPr>
        <w:pStyle w:val="11"/>
        <w:bidi w:val="0"/>
        <w:spacing w:lineRule="exact" w:line="500" w:before="180" w:after="0"/>
        <w:ind w:left="0" w:right="0" w:hanging="0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1.4</w:t>
        <w:tab/>
        <w:t xml:space="preserve">   </w:t>
      </w:r>
      <w:r>
        <w:rPr>
          <w:rFonts w:cs="標楷體"/>
          <w:sz w:val="28"/>
          <w:szCs w:val="28"/>
        </w:rPr>
        <w:t>相關準則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1.4.1  CNS 941   </w:t>
      </w:r>
      <w:r>
        <w:rPr>
          <w:rFonts w:cs="標楷體"/>
          <w:sz w:val="28"/>
          <w:szCs w:val="28"/>
        </w:rPr>
        <w:t>鋼纜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1.4.2  CNS 5398  </w:t>
      </w:r>
      <w:r>
        <w:rPr>
          <w:rFonts w:cs="標楷體"/>
          <w:sz w:val="28"/>
          <w:szCs w:val="28"/>
        </w:rPr>
        <w:t>鋼索夾</w:t>
      </w:r>
    </w:p>
    <w:p>
      <w:pPr>
        <w:pStyle w:val="11"/>
        <w:bidi w:val="0"/>
        <w:spacing w:lineRule="exact" w:line="500" w:before="120" w:after="0"/>
        <w:ind w:left="964" w:right="0" w:hanging="964"/>
        <w:rPr>
          <w:rFonts w:cs="標楷體"/>
          <w:b w:val="false"/>
          <w:b w:val="false"/>
          <w:bCs w:val="false"/>
          <w:color w:val="000000"/>
          <w:sz w:val="28"/>
          <w:szCs w:val="28"/>
          <w:u w:val="none"/>
        </w:rPr>
      </w:pP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 xml:space="preserve">1.4.3  CNS 1247  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熱浸鍍鋅檢驗法</w:t>
      </w:r>
    </w:p>
    <w:p>
      <w:pPr>
        <w:pStyle w:val="11"/>
        <w:bidi w:val="0"/>
        <w:spacing w:lineRule="exact" w:line="500" w:before="180" w:after="0"/>
        <w:ind w:left="0" w:right="0" w:hanging="0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1.5  </w:t>
        <w:tab/>
      </w:r>
      <w:r>
        <w:rPr>
          <w:rFonts w:cs="標楷體"/>
          <w:sz w:val="28"/>
          <w:szCs w:val="28"/>
        </w:rPr>
        <w:t>資料送審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1.5.1</w:t>
        <w:tab/>
      </w:r>
      <w:r>
        <w:rPr>
          <w:rFonts w:cs="標楷體"/>
          <w:sz w:val="28"/>
          <w:szCs w:val="28"/>
        </w:rPr>
        <w:t>鋼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鐵</w:t>
      </w:r>
      <w:r>
        <w:rPr>
          <w:rFonts w:cs="標楷體"/>
          <w:sz w:val="28"/>
          <w:szCs w:val="28"/>
        </w:rPr>
        <w:t xml:space="preserve">) </w:t>
      </w:r>
      <w:r>
        <w:rPr>
          <w:rFonts w:cs="標楷體"/>
          <w:sz w:val="28"/>
          <w:szCs w:val="28"/>
        </w:rPr>
        <w:t>模及吊環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耳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之材質、尺寸、設計圖說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廠商如使用專利設計之鋼模，應先合法取得專利所有人之同意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1.5.2</w:t>
        <w:tab/>
      </w:r>
      <w:r>
        <w:rPr>
          <w:rFonts w:cs="標楷體"/>
          <w:sz w:val="28"/>
          <w:szCs w:val="28"/>
        </w:rPr>
        <w:t>鋼筋、混凝土依相關章節規定送審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1.5.3</w:t>
        <w:tab/>
      </w:r>
      <w:r>
        <w:rPr>
          <w:rFonts w:cs="標楷體"/>
          <w:sz w:val="28"/>
          <w:szCs w:val="28"/>
        </w:rPr>
        <w:t>鋼索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纜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、鋼索夾送審</w:t>
      </w:r>
      <w:r>
        <w:rPr>
          <w:rFonts w:cs="標楷體"/>
          <w:sz w:val="28"/>
          <w:szCs w:val="28"/>
        </w:rPr>
        <w:t>:</w:t>
      </w:r>
    </w:p>
    <w:p>
      <w:pPr>
        <w:pStyle w:val="11"/>
        <w:bidi w:val="0"/>
        <w:spacing w:lineRule="exact" w:line="500"/>
        <w:ind w:left="966" w:right="0" w:hanging="54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(1) </w:t>
      </w:r>
      <w:r>
        <w:rPr>
          <w:rFonts w:cs="標楷體"/>
          <w:sz w:val="28"/>
          <w:szCs w:val="28"/>
        </w:rPr>
        <w:t>鋼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索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(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纜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)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之材質、尺寸、最小拉斷負載、鍍鋅量須符合設計圖說及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CNS 941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規定，並檢具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3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年內之拉力試驗、鍍鋅量之試驗報告。</w:t>
      </w:r>
    </w:p>
    <w:p>
      <w:pPr>
        <w:pStyle w:val="11"/>
        <w:bidi w:val="0"/>
        <w:spacing w:lineRule="exact" w:line="500"/>
        <w:ind w:left="966" w:right="0" w:hanging="544"/>
        <w:rPr>
          <w:b w:val="false"/>
          <w:b w:val="false"/>
          <w:bCs w:val="false"/>
          <w:color w:val="000000"/>
          <w:u w:val="none"/>
        </w:rPr>
      </w:pP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(2)</w:t>
      </w:r>
      <w:r>
        <w:rPr>
          <w:b w:val="false"/>
          <w:bCs w:val="false"/>
          <w:color w:val="000000"/>
          <w:u w:val="none"/>
        </w:rPr>
        <w:t xml:space="preserve"> 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鋼索夾之尺度、重量、扭力值須符合設計圖說及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CNS 5398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規定，並檢具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3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年內之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  <w:shd w:fill="auto" w:val="clear"/>
        </w:rPr>
        <w:t>扭力試驗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報告。</w:t>
      </w:r>
    </w:p>
    <w:p>
      <w:pPr>
        <w:pStyle w:val="1"/>
        <w:bidi w:val="0"/>
        <w:spacing w:lineRule="exact" w:line="1000"/>
        <w:ind w:left="964" w:right="0" w:hanging="964"/>
        <w:rPr>
          <w:b/>
          <w:b/>
        </w:rPr>
      </w:pPr>
      <w:r>
        <w:rPr>
          <w:b/>
        </w:rPr>
        <w:t>2.</w:t>
        <w:tab/>
      </w:r>
      <w:r>
        <w:rPr>
          <w:b/>
        </w:rPr>
        <w:t>產品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2.1    </w:t>
      </w:r>
      <w:r>
        <w:rPr>
          <w:rFonts w:cs="標楷體"/>
          <w:sz w:val="28"/>
          <w:szCs w:val="28"/>
        </w:rPr>
        <w:t>混凝土塊間之聯結材料如使用鋼筋，須符合第</w:t>
      </w:r>
      <w:r>
        <w:rPr>
          <w:rFonts w:cs="標楷體"/>
          <w:sz w:val="28"/>
          <w:szCs w:val="28"/>
        </w:rPr>
        <w:t>03210</w:t>
      </w:r>
      <w:r>
        <w:rPr>
          <w:rFonts w:cs="標楷體"/>
          <w:sz w:val="28"/>
          <w:szCs w:val="28"/>
        </w:rPr>
        <w:t>章規定。</w:t>
      </w:r>
    </w:p>
    <w:p>
      <w:pPr>
        <w:pStyle w:val="11"/>
        <w:bidi w:val="0"/>
        <w:spacing w:lineRule="exact" w:line="500" w:before="180" w:after="0"/>
        <w:ind w:left="966" w:right="0" w:hanging="966"/>
        <w:rPr/>
      </w:pPr>
      <w:r>
        <w:rPr>
          <w:rFonts w:cs="標楷體"/>
          <w:sz w:val="28"/>
          <w:szCs w:val="28"/>
        </w:rPr>
        <w:t>2.2</w:t>
        <w:tab/>
      </w:r>
      <w:r>
        <w:rPr>
          <w:rFonts w:cs="標楷體"/>
          <w:sz w:val="28"/>
          <w:szCs w:val="28"/>
        </w:rPr>
        <w:t>混凝土須符合第</w:t>
      </w:r>
      <w:r>
        <w:rPr>
          <w:rFonts w:cs="標楷體"/>
          <w:sz w:val="28"/>
          <w:szCs w:val="28"/>
        </w:rPr>
        <w:t>03310</w:t>
      </w:r>
      <w:r>
        <w:rPr>
          <w:rFonts w:cs="標楷體"/>
          <w:sz w:val="28"/>
          <w:szCs w:val="28"/>
        </w:rPr>
        <w:t>章或第</w:t>
      </w:r>
      <w:r>
        <w:rPr>
          <w:rFonts w:cs="標楷體"/>
          <w:sz w:val="28"/>
          <w:szCs w:val="28"/>
        </w:rPr>
        <w:t>03801</w:t>
      </w:r>
      <w:r>
        <w:rPr>
          <w:rFonts w:cs="標楷體"/>
          <w:sz w:val="28"/>
          <w:szCs w:val="28"/>
        </w:rPr>
        <w:t>章規定，</w:t>
      </w:r>
      <w:r>
        <w:rPr>
          <w:rFonts w:cs="標楷體"/>
          <w:sz w:val="28"/>
          <w:szCs w:val="28"/>
        </w:rPr>
        <w:t>28</w:t>
      </w:r>
      <w:r>
        <w:rPr>
          <w:rFonts w:cs="標楷體"/>
          <w:sz w:val="28"/>
          <w:szCs w:val="28"/>
        </w:rPr>
        <w:t>天抗壓強度至少為</w:t>
      </w:r>
      <w:r>
        <w:rPr>
          <w:rFonts w:cs="標楷體"/>
          <w:sz w:val="28"/>
          <w:szCs w:val="28"/>
        </w:rPr>
        <w:t>210kgf/cm</w:t>
      </w:r>
      <w:r>
        <w:rPr>
          <w:rFonts w:cs="標楷體"/>
          <w:sz w:val="28"/>
          <w:szCs w:val="28"/>
          <w:vertAlign w:val="superscript"/>
        </w:rPr>
        <w:t>2</w:t>
      </w:r>
      <w:r>
        <w:rPr>
          <w:rFonts w:cs="標楷體"/>
          <w:sz w:val="28"/>
          <w:szCs w:val="28"/>
        </w:rPr>
        <w:t>。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2.3    </w:t>
      </w:r>
      <w:r>
        <w:rPr>
          <w:rFonts w:cs="標楷體"/>
          <w:sz w:val="28"/>
          <w:szCs w:val="28"/>
        </w:rPr>
        <w:t>混凝土塊間之聯結材料規格，依設計圖說規定辦理，使用鋼索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纜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須符合</w:t>
      </w:r>
      <w:r>
        <w:rPr>
          <w:rFonts w:cs="標楷體"/>
          <w:sz w:val="28"/>
          <w:szCs w:val="28"/>
        </w:rPr>
        <w:t>CNS 941</w:t>
      </w:r>
      <w:r>
        <w:rPr>
          <w:rFonts w:cs="標楷體"/>
          <w:sz w:val="28"/>
          <w:szCs w:val="28"/>
        </w:rPr>
        <w:t>規定、鋼索夾須符合</w:t>
      </w:r>
      <w:r>
        <w:rPr>
          <w:rFonts w:cs="標楷體"/>
          <w:sz w:val="28"/>
          <w:szCs w:val="28"/>
        </w:rPr>
        <w:t>CNS 5398</w:t>
      </w:r>
      <w:r>
        <w:rPr>
          <w:rFonts w:cs="標楷體"/>
          <w:sz w:val="28"/>
          <w:szCs w:val="28"/>
        </w:rPr>
        <w:t>規定。</w:t>
      </w:r>
    </w:p>
    <w:p>
      <w:pPr>
        <w:pStyle w:val="1"/>
        <w:bidi w:val="0"/>
        <w:spacing w:lineRule="exact" w:line="1000"/>
        <w:ind w:left="964" w:right="0" w:hanging="964"/>
        <w:rPr>
          <w:b/>
          <w:b/>
        </w:rPr>
      </w:pPr>
      <w:r>
        <w:rPr>
          <w:b/>
        </w:rPr>
        <w:t>3.</w:t>
        <w:tab/>
      </w:r>
      <w:r>
        <w:rPr>
          <w:b/>
        </w:rPr>
        <w:t>施工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3.1   </w:t>
      </w:r>
      <w:r>
        <w:rPr>
          <w:rFonts w:cs="標楷體"/>
          <w:sz w:val="28"/>
          <w:szCs w:val="28"/>
        </w:rPr>
        <w:t>準備工作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3.1.1  </w:t>
      </w:r>
      <w:r>
        <w:rPr>
          <w:rFonts w:cs="標楷體"/>
          <w:sz w:val="28"/>
          <w:szCs w:val="28"/>
        </w:rPr>
        <w:t>為防止混凝土塊底模變形，混凝土塊製作場地應確實整平。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3.1.2  </w:t>
      </w:r>
      <w:r>
        <w:rPr>
          <w:rFonts w:cs="標楷體"/>
          <w:color w:val="000000"/>
          <w:sz w:val="28"/>
          <w:szCs w:val="28"/>
        </w:rPr>
        <w:t>混凝土塊為防汛備料者，塊間距應保持</w:t>
      </w:r>
      <w:r>
        <w:rPr>
          <w:rFonts w:cs="標楷體"/>
          <w:color w:val="000000"/>
          <w:sz w:val="28"/>
          <w:szCs w:val="28"/>
        </w:rPr>
        <w:t>50[]cm</w:t>
      </w:r>
      <w:r>
        <w:rPr>
          <w:rFonts w:cs="標楷體"/>
          <w:color w:val="000000"/>
          <w:sz w:val="28"/>
          <w:szCs w:val="28"/>
        </w:rPr>
        <w:t>以上以利後續拆模，及避免吊掛碰撞；如採用吊索搭配吊環</w:t>
      </w:r>
      <w:r>
        <w:rPr>
          <w:rFonts w:cs="標楷體"/>
          <w:color w:val="000000"/>
          <w:sz w:val="28"/>
          <w:szCs w:val="28"/>
        </w:rPr>
        <w:t>(</w:t>
      </w:r>
      <w:r>
        <w:rPr>
          <w:rFonts w:cs="標楷體"/>
          <w:color w:val="000000"/>
          <w:sz w:val="28"/>
          <w:szCs w:val="28"/>
        </w:rPr>
        <w:t>耳</w:t>
      </w:r>
      <w:r>
        <w:rPr>
          <w:rFonts w:cs="標楷體"/>
          <w:color w:val="000000"/>
          <w:sz w:val="28"/>
          <w:szCs w:val="28"/>
        </w:rPr>
        <w:t>)</w:t>
      </w:r>
      <w:r>
        <w:rPr>
          <w:rFonts w:cs="標楷體"/>
          <w:color w:val="000000"/>
          <w:sz w:val="28"/>
          <w:szCs w:val="28"/>
        </w:rPr>
        <w:t>者，應採用鐵製吊環</w:t>
      </w:r>
      <w:r>
        <w:rPr>
          <w:rFonts w:cs="標楷體"/>
          <w:color w:val="000000"/>
          <w:sz w:val="28"/>
          <w:szCs w:val="28"/>
        </w:rPr>
        <w:t>(</w:t>
      </w:r>
      <w:r>
        <w:rPr>
          <w:rFonts w:cs="標楷體"/>
          <w:color w:val="000000"/>
          <w:sz w:val="28"/>
          <w:szCs w:val="28"/>
        </w:rPr>
        <w:t>耳</w:t>
      </w:r>
      <w:r>
        <w:rPr>
          <w:rFonts w:cs="標楷體"/>
          <w:color w:val="000000"/>
          <w:sz w:val="28"/>
          <w:szCs w:val="28"/>
        </w:rPr>
        <w:t xml:space="preserve">)3 </w:t>
      </w:r>
      <w:r>
        <w:rPr>
          <w:rFonts w:cs="標楷體"/>
          <w:color w:val="000000"/>
          <w:sz w:val="28"/>
          <w:szCs w:val="28"/>
        </w:rPr>
        <w:t>個，吊環</w:t>
      </w:r>
      <w:r>
        <w:rPr>
          <w:rFonts w:cs="標楷體"/>
          <w:color w:val="000000"/>
          <w:sz w:val="28"/>
          <w:szCs w:val="28"/>
        </w:rPr>
        <w:t>(</w:t>
      </w:r>
      <w:r>
        <w:rPr>
          <w:rFonts w:cs="標楷體"/>
          <w:color w:val="000000"/>
          <w:sz w:val="28"/>
          <w:szCs w:val="28"/>
        </w:rPr>
        <w:t>耳</w:t>
      </w:r>
      <w:r>
        <w:rPr>
          <w:rFonts w:cs="標楷體"/>
          <w:color w:val="000000"/>
          <w:sz w:val="28"/>
          <w:szCs w:val="28"/>
        </w:rPr>
        <w:t>)</w:t>
      </w:r>
      <w:r>
        <w:rPr>
          <w:rFonts w:cs="標楷體"/>
          <w:color w:val="000000"/>
          <w:sz w:val="28"/>
          <w:szCs w:val="28"/>
        </w:rPr>
        <w:t>依設計圖說製作。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3.1.3  </w:t>
      </w:r>
      <w:r>
        <w:rPr>
          <w:rFonts w:cs="標楷體"/>
          <w:sz w:val="28"/>
          <w:szCs w:val="28"/>
        </w:rPr>
        <w:t>混凝土塊非防汛備料者，除設計圖說另有規定外，塊間距應保持</w:t>
      </w:r>
      <w:r>
        <w:rPr>
          <w:rFonts w:cs="標楷體"/>
          <w:sz w:val="28"/>
          <w:szCs w:val="28"/>
        </w:rPr>
        <w:t>50cm</w:t>
      </w:r>
      <w:r>
        <w:rPr>
          <w:rFonts w:cs="標楷體"/>
          <w:sz w:val="28"/>
          <w:szCs w:val="28"/>
        </w:rPr>
        <w:t>以上以利後續拆模，並須預埋鋼筋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頭尾端應設彎鉤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串聯、或拆模後相臨塊間腰部以鋼索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纜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捆綁搭配鋼索夾鎖固、或以</w:t>
      </w:r>
      <w:r>
        <w:rPr>
          <w:rFonts w:cs="標楷體"/>
          <w:sz w:val="28"/>
          <w:szCs w:val="28"/>
        </w:rPr>
        <w:t>C</w:t>
      </w:r>
      <w:r>
        <w:rPr>
          <w:rFonts w:cs="標楷體"/>
          <w:sz w:val="28"/>
          <w:szCs w:val="28"/>
        </w:rPr>
        <w:t>型鐵件搭配螺栓鎖緊等方式互相串聯，以增加固結力。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3.2</w:t>
        <w:tab/>
      </w:r>
      <w:r>
        <w:rPr>
          <w:rFonts w:cs="標楷體"/>
          <w:sz w:val="28"/>
          <w:szCs w:val="28"/>
        </w:rPr>
        <w:t>組模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3.2.1  </w:t>
      </w:r>
      <w:r>
        <w:rPr>
          <w:rFonts w:cs="標楷體"/>
          <w:sz w:val="28"/>
          <w:szCs w:val="28"/>
        </w:rPr>
        <w:t>模板限用鋼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鐵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模，須具足夠之剛性並確實清理殘餘混凝土渣，接縫必須密接且不得變形，並以螺栓鎖緊固定。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3.2.2  </w:t>
      </w:r>
      <w:r>
        <w:rPr>
          <w:rFonts w:cs="標楷體"/>
          <w:sz w:val="28"/>
          <w:szCs w:val="28"/>
        </w:rPr>
        <w:t>廠商應於組模後，請監造工程司確認尺寸符合圖說，並於模具內側均勻塗抹脫模劑。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3.2.3  </w:t>
      </w:r>
      <w:r>
        <w:rPr>
          <w:rFonts w:cs="標楷體"/>
          <w:sz w:val="28"/>
          <w:szCs w:val="28"/>
        </w:rPr>
        <w:t>混凝土塊如三腳鼎塊、元鼎塊、安卡塊或其他與土壤接觸面無鋼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鐵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 xml:space="preserve">模設計者，為避免與土壤直接接觸，得經監造工程司認可後於底部墊以夾板等材料，方可進行澆置作業。  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3.3</w:t>
        <w:tab/>
      </w:r>
      <w:r>
        <w:rPr>
          <w:rFonts w:cs="標楷體"/>
          <w:sz w:val="28"/>
          <w:szCs w:val="28"/>
        </w:rPr>
        <w:t>澆置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3.3.1</w:t>
        <w:tab/>
      </w:r>
      <w:r>
        <w:rPr>
          <w:rFonts w:cs="標楷體"/>
          <w:sz w:val="28"/>
          <w:szCs w:val="28"/>
        </w:rPr>
        <w:t>每一混凝土塊以連續澆置為原則，如需分層澆置亦不得產生冷縫。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3.3.2</w:t>
        <w:tab/>
      </w:r>
      <w:r>
        <w:rPr>
          <w:rFonts w:cs="標楷體"/>
          <w:sz w:val="28"/>
          <w:szCs w:val="28"/>
        </w:rPr>
        <w:t xml:space="preserve">澆置過程適度振動搗實，必要時輔以外模振動機，各接縫、轉角及腳端處須充份搗實，拆模後須能獲得光滑之混凝土表面。 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3.4    </w:t>
      </w:r>
      <w:r>
        <w:rPr>
          <w:rFonts w:cs="標楷體"/>
          <w:sz w:val="28"/>
          <w:szCs w:val="28"/>
        </w:rPr>
        <w:t xml:space="preserve">拆模及養護  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3.4.1  </w:t>
      </w:r>
      <w:r>
        <w:rPr>
          <w:rFonts w:cs="標楷體"/>
          <w:sz w:val="28"/>
          <w:szCs w:val="28"/>
        </w:rPr>
        <w:t>除契約另有規定外，邊模於混凝土澆置滿</w:t>
      </w:r>
      <w:r>
        <w:rPr>
          <w:rFonts w:cs="標楷體"/>
          <w:sz w:val="28"/>
          <w:szCs w:val="28"/>
        </w:rPr>
        <w:t>1</w:t>
      </w:r>
      <w:r>
        <w:rPr>
          <w:rFonts w:cs="標楷體"/>
          <w:sz w:val="28"/>
          <w:szCs w:val="28"/>
        </w:rPr>
        <w:t>天以上，底模滿</w:t>
      </w:r>
      <w:r>
        <w:rPr>
          <w:rFonts w:cs="標楷體"/>
          <w:sz w:val="28"/>
          <w:szCs w:val="28"/>
        </w:rPr>
        <w:t>2</w:t>
      </w:r>
      <w:r>
        <w:rPr>
          <w:rFonts w:cs="標楷體"/>
          <w:sz w:val="28"/>
          <w:szCs w:val="28"/>
        </w:rPr>
        <w:t>天以上，始得拆模。拆模後以噴漆或油漆標示澆置日期及編號，以便搬運時檢查強度是否足夠。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3.4.2  </w:t>
      </w:r>
      <w:r>
        <w:rPr>
          <w:rFonts w:cs="標楷體"/>
          <w:sz w:val="28"/>
          <w:szCs w:val="28"/>
        </w:rPr>
        <w:t>拆模後灑水養護至少連續</w:t>
      </w:r>
      <w:r>
        <w:rPr>
          <w:rFonts w:cs="標楷體"/>
          <w:sz w:val="28"/>
          <w:szCs w:val="28"/>
        </w:rPr>
        <w:t>7</w:t>
      </w:r>
      <w:r>
        <w:rPr>
          <w:rFonts w:cs="標楷體"/>
          <w:sz w:val="28"/>
          <w:szCs w:val="28"/>
        </w:rPr>
        <w:t>天以上，避免產生乾縮裂縫。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3.5</w:t>
        <w:tab/>
      </w:r>
      <w:r>
        <w:rPr>
          <w:rFonts w:cs="標楷體"/>
          <w:sz w:val="28"/>
          <w:szCs w:val="28"/>
        </w:rPr>
        <w:t>混凝土塊吊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排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放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3.5.1  </w:t>
      </w:r>
      <w:r>
        <w:rPr>
          <w:rFonts w:cs="標楷體"/>
          <w:sz w:val="28"/>
          <w:szCs w:val="28"/>
        </w:rPr>
        <w:t>ㄧ般於混凝土澆置達</w:t>
      </w:r>
      <w:r>
        <w:rPr>
          <w:rFonts w:cs="標楷體"/>
          <w:sz w:val="28"/>
          <w:szCs w:val="28"/>
        </w:rPr>
        <w:t>28</w:t>
      </w:r>
      <w:r>
        <w:rPr>
          <w:rFonts w:cs="標楷體"/>
          <w:sz w:val="28"/>
          <w:szCs w:val="28"/>
        </w:rPr>
        <w:t>天鑽心合格並確定數量後，始得開始吊放</w:t>
      </w:r>
      <w:r>
        <w:rPr>
          <w:rFonts w:cs="標楷體"/>
          <w:sz w:val="28"/>
          <w:szCs w:val="28"/>
        </w:rPr>
        <w:t>;</w:t>
      </w:r>
      <w:r>
        <w:rPr>
          <w:rFonts w:cs="標楷體"/>
          <w:sz w:val="28"/>
          <w:szCs w:val="28"/>
        </w:rPr>
        <w:t>如有緊急搶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修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險吊放需要者，至少澆置後</w:t>
      </w:r>
      <w:r>
        <w:rPr>
          <w:rFonts w:cs="標楷體"/>
          <w:sz w:val="28"/>
          <w:szCs w:val="28"/>
        </w:rPr>
        <w:t>10</w:t>
      </w:r>
      <w:r>
        <w:rPr>
          <w:rFonts w:cs="標楷體"/>
          <w:sz w:val="28"/>
          <w:szCs w:val="28"/>
        </w:rPr>
        <w:t>天，且</w:t>
      </w:r>
      <w:r>
        <w:rPr>
          <w:rFonts w:cs="標楷體"/>
          <w:sz w:val="28"/>
          <w:szCs w:val="28"/>
        </w:rPr>
        <w:t>7</w:t>
      </w:r>
      <w:r>
        <w:rPr>
          <w:rFonts w:cs="標楷體"/>
          <w:sz w:val="28"/>
          <w:szCs w:val="28"/>
        </w:rPr>
        <w:t>天圓柱試體抗壓強度達</w:t>
      </w:r>
      <w:r>
        <w:rPr>
          <w:rFonts w:cs="標楷體"/>
          <w:sz w:val="28"/>
          <w:szCs w:val="28"/>
        </w:rPr>
        <w:t>0.7 f'c</w:t>
      </w:r>
      <w:r>
        <w:rPr>
          <w:rFonts w:cs="標楷體"/>
          <w:sz w:val="28"/>
          <w:szCs w:val="28"/>
        </w:rPr>
        <w:t>者，方可吊放。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3.5.2  </w:t>
      </w:r>
      <w:r>
        <w:rPr>
          <w:rFonts w:cs="標楷體"/>
          <w:sz w:val="28"/>
          <w:szCs w:val="28"/>
        </w:rPr>
        <w:t>除設計圖說另有規定外，混凝土塊吊掛方式應以三點連吊法為原則，以增加穩定性及降低破損率，並依設計圖說規定排放，所有之吊運機具均由廠商自備。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3.5.3  </w:t>
      </w:r>
      <w:r>
        <w:rPr>
          <w:rFonts w:cs="標楷體"/>
          <w:sz w:val="28"/>
          <w:szCs w:val="28"/>
        </w:rPr>
        <w:t>吊放混凝土塊時應使用適當吊具，如使用移動式起重機，應於吊放前核對該起重機檢查合格證、操作人員合格證及吊掛人員合格證等書件，並於完成吊掛作業安全檢查後方可進行吊放。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3.5.4  </w:t>
      </w:r>
      <w:r>
        <w:rPr>
          <w:rFonts w:cs="標楷體"/>
          <w:sz w:val="28"/>
          <w:szCs w:val="28"/>
        </w:rPr>
        <w:t>混凝土塊吊放時應小心平緩輕置，不得驟然衝擊吊放，並避免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相互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碰撞損及混凝土塊或現有設施。如因吊放不當導致混凝土塊斷裂，廠商應依本規範規定重新製作及吊放</w:t>
      </w:r>
      <w:r>
        <w:rPr>
          <w:rFonts w:cs="標楷體"/>
          <w:sz w:val="28"/>
          <w:szCs w:val="28"/>
        </w:rPr>
        <w:t>;</w:t>
      </w:r>
      <w:r>
        <w:rPr>
          <w:rFonts w:cs="標楷體"/>
          <w:sz w:val="28"/>
          <w:szCs w:val="28"/>
        </w:rPr>
        <w:t>如因而損及現有設施，廠商應負責修復，吊放時，須有人員管制作業區之安全措施。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3.6    </w:t>
      </w:r>
      <w:r>
        <w:rPr>
          <w:rFonts w:cs="標楷體"/>
          <w:sz w:val="28"/>
          <w:szCs w:val="28"/>
        </w:rPr>
        <w:t>檢驗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3.6.1</w:t>
        <w:tab/>
      </w:r>
      <w:r>
        <w:rPr>
          <w:rFonts w:cs="標楷體"/>
          <w:sz w:val="28"/>
          <w:szCs w:val="28"/>
        </w:rPr>
        <w:t>除契約圖說另有規定外，本章混凝土塊使用之混凝土材料依第</w:t>
      </w:r>
      <w:r>
        <w:rPr>
          <w:rFonts w:cs="標楷體"/>
          <w:sz w:val="28"/>
          <w:szCs w:val="28"/>
        </w:rPr>
        <w:t>03310</w:t>
      </w:r>
      <w:r>
        <w:rPr>
          <w:rFonts w:cs="標楷體"/>
          <w:sz w:val="28"/>
          <w:szCs w:val="28"/>
        </w:rPr>
        <w:t>章或第</w:t>
      </w:r>
      <w:r>
        <w:rPr>
          <w:rFonts w:cs="標楷體"/>
          <w:sz w:val="28"/>
          <w:szCs w:val="28"/>
        </w:rPr>
        <w:t>03801</w:t>
      </w:r>
      <w:r>
        <w:rPr>
          <w:rFonts w:cs="標楷體"/>
          <w:sz w:val="28"/>
          <w:szCs w:val="28"/>
        </w:rPr>
        <w:t>章辦理檢驗</w:t>
      </w:r>
      <w:r>
        <w:rPr>
          <w:rFonts w:cs="標楷體"/>
          <w:sz w:val="28"/>
          <w:szCs w:val="28"/>
        </w:rPr>
        <w:t>;</w:t>
      </w:r>
      <w:r>
        <w:rPr>
          <w:rFonts w:cs="標楷體"/>
          <w:sz w:val="28"/>
          <w:szCs w:val="28"/>
        </w:rPr>
        <w:t>鋼筋依第</w:t>
      </w:r>
      <w:r>
        <w:rPr>
          <w:rFonts w:cs="標楷體"/>
          <w:sz w:val="28"/>
          <w:szCs w:val="28"/>
        </w:rPr>
        <w:t>03210</w:t>
      </w:r>
      <w:r>
        <w:rPr>
          <w:rFonts w:cs="標楷體"/>
          <w:sz w:val="28"/>
          <w:szCs w:val="28"/>
        </w:rPr>
        <w:t>章規定辦理檢驗。</w:t>
      </w:r>
    </w:p>
    <w:p>
      <w:pPr>
        <w:pStyle w:val="11"/>
        <w:bidi w:val="0"/>
        <w:spacing w:lineRule="exact" w:line="500"/>
        <w:ind w:left="964" w:right="0" w:hanging="964"/>
        <w:rPr/>
      </w:pPr>
      <w:r>
        <w:rPr>
          <w:rFonts w:cs="標楷體"/>
          <w:sz w:val="28"/>
          <w:szCs w:val="28"/>
        </w:rPr>
        <w:t xml:space="preserve">3.6.2  </w:t>
      </w:r>
      <w:r>
        <w:rPr>
          <w:rFonts w:cs="標楷體"/>
          <w:sz w:val="28"/>
          <w:szCs w:val="28"/>
        </w:rPr>
        <w:t>鋼索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纜</w:t>
      </w:r>
      <w:r>
        <w:rPr>
          <w:rFonts w:cs="標楷體"/>
          <w:sz w:val="28"/>
          <w:szCs w:val="28"/>
        </w:rPr>
        <w:t>)</w:t>
      </w:r>
      <w:r>
        <w:rPr>
          <w:rFonts w:cs="標楷體"/>
          <w:strike w:val="false"/>
          <w:dstrike w:val="false"/>
          <w:color w:val="FF0000"/>
          <w:sz w:val="28"/>
          <w:szCs w:val="28"/>
          <w:u w:val="none"/>
        </w:rPr>
        <w:t>、</w:t>
      </w:r>
      <w:r>
        <w:rPr>
          <w:rFonts w:cs="標楷體"/>
          <w:strike w:val="false"/>
          <w:dstrike w:val="false"/>
          <w:color w:val="000000"/>
          <w:sz w:val="28"/>
          <w:szCs w:val="28"/>
          <w:u w:val="none"/>
        </w:rPr>
        <w:t>鋼索夾</w:t>
      </w:r>
      <w:r>
        <w:rPr>
          <w:rFonts w:cs="標楷體"/>
          <w:sz w:val="28"/>
          <w:szCs w:val="28"/>
        </w:rPr>
        <w:t>檢驗</w:t>
      </w:r>
      <w:r>
        <w:rPr>
          <w:rFonts w:cs="標楷體"/>
          <w:sz w:val="28"/>
          <w:szCs w:val="28"/>
        </w:rPr>
        <w:t>:</w:t>
      </w:r>
    </w:p>
    <w:p>
      <w:pPr>
        <w:pStyle w:val="11"/>
        <w:bidi w:val="0"/>
        <w:spacing w:lineRule="exact" w:line="500"/>
        <w:ind w:left="964" w:right="0" w:hanging="0"/>
        <w:jc w:val="both"/>
        <w:textAlignment w:val="center"/>
        <w:rPr>
          <w:rFonts w:cs="標楷體"/>
          <w:b w:val="false"/>
          <w:b w:val="false"/>
          <w:bCs w:val="false"/>
          <w:color w:val="000000"/>
          <w:sz w:val="28"/>
          <w:szCs w:val="28"/>
          <w:u w:val="none"/>
        </w:rPr>
      </w:pP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鋼索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(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纜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)</w:t>
      </w:r>
      <w:r>
        <w:rPr>
          <w:rFonts w:cs="標楷體"/>
          <w:b w:val="false"/>
          <w:bCs w:val="false"/>
          <w:strike w:val="false"/>
          <w:dstrike w:val="false"/>
          <w:color w:val="000000"/>
          <w:sz w:val="28"/>
          <w:szCs w:val="28"/>
          <w:u w:val="none"/>
        </w:rPr>
        <w:t>、鋼索夾</w:t>
      </w:r>
      <w:r>
        <w:rPr>
          <w:rFonts w:cs="標楷體"/>
          <w:b w:val="false"/>
          <w:bCs w:val="false"/>
          <w:strike w:val="false"/>
          <w:dstrike w:val="false"/>
          <w:color w:val="000000"/>
          <w:sz w:val="28"/>
          <w:szCs w:val="28"/>
          <w:u w:val="none"/>
        </w:rPr>
        <w:t>之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檢驗依設計圖說或下表規定辦理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:</w:t>
      </w:r>
    </w:p>
    <w:p>
      <w:pPr>
        <w:pStyle w:val="11"/>
        <w:bidi w:val="0"/>
        <w:spacing w:lineRule="exact" w:line="500"/>
        <w:ind w:left="964" w:right="0" w:hanging="964"/>
        <w:jc w:val="center"/>
        <w:textAlignment w:val="center"/>
        <w:rPr>
          <w:rFonts w:cs="標楷體"/>
          <w:b w:val="false"/>
          <w:b w:val="false"/>
          <w:bCs w:val="false"/>
          <w:color w:val="000000"/>
          <w:sz w:val="28"/>
          <w:szCs w:val="28"/>
          <w:u w:val="none"/>
        </w:rPr>
      </w:pP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</w:r>
    </w:p>
    <w:p>
      <w:pPr>
        <w:pStyle w:val="11"/>
        <w:bidi w:val="0"/>
        <w:spacing w:lineRule="exact" w:line="500"/>
        <w:ind w:left="964" w:right="0" w:hanging="964"/>
        <w:jc w:val="center"/>
        <w:textAlignment w:val="center"/>
        <w:rPr>
          <w:rFonts w:cs="標楷體"/>
          <w:b w:val="false"/>
          <w:b w:val="false"/>
          <w:bCs w:val="false"/>
          <w:color w:val="000000"/>
          <w:sz w:val="27"/>
          <w:szCs w:val="27"/>
          <w:u w:val="none"/>
        </w:rPr>
      </w:pP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鋼索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(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纜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)</w:t>
      </w:r>
      <w:r>
        <w:rPr>
          <w:rFonts w:cs="標楷體"/>
          <w:b w:val="false"/>
          <w:bCs w:val="false"/>
          <w:strike w:val="false"/>
          <w:dstrike w:val="false"/>
          <w:color w:val="000000"/>
          <w:sz w:val="28"/>
          <w:szCs w:val="28"/>
          <w:u w:val="none"/>
        </w:rPr>
        <w:t>、鋼索夾</w:t>
      </w:r>
      <w:r>
        <w:rPr>
          <w:rFonts w:cs="標楷體"/>
          <w:b w:val="false"/>
          <w:bCs w:val="false"/>
          <w:color w:val="000000"/>
          <w:sz w:val="28"/>
          <w:szCs w:val="28"/>
          <w:u w:val="none"/>
        </w:rPr>
        <w:t>檢驗表</w:t>
      </w:r>
    </w:p>
    <w:tbl>
      <w:tblPr>
        <w:tblW w:w="8844" w:type="dxa"/>
        <w:jc w:val="left"/>
        <w:tblInd w:w="10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308"/>
        <w:gridCol w:w="1356"/>
        <w:gridCol w:w="1476"/>
        <w:gridCol w:w="1536"/>
        <w:gridCol w:w="1812"/>
      </w:tblGrid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360"/>
              <w:ind w:left="0" w:right="0" w:hanging="0"/>
              <w:jc w:val="center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品項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360"/>
              <w:ind w:left="0" w:right="0" w:hanging="0"/>
              <w:jc w:val="righ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檢驗項目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0" w:right="0" w:hanging="0"/>
              <w:jc w:val="right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檢驗時機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-29" w:right="-29" w:hanging="0"/>
              <w:jc w:val="center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檢驗頻率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300"/>
              <w:ind w:left="0" w:right="0" w:hanging="0"/>
              <w:jc w:val="right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檢驗標準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300"/>
              <w:ind w:left="0" w:right="0" w:hanging="0"/>
              <w:jc w:val="center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檢驗方法</w:t>
            </w:r>
          </w:p>
        </w:tc>
      </w:tr>
      <w:tr>
        <w:trPr>
          <w:trHeight w:val="710" w:hRule="atLeast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300"/>
              <w:ind w:left="0" w:right="0" w:hanging="0"/>
              <w:jc w:val="righ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鋼索</w:t>
            </w: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(</w:t>
            </w: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纜</w:t>
            </w: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0" w:right="0" w:hanging="0"/>
              <w:jc w:val="righ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拉力試驗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300"/>
              <w:ind w:left="-24" w:right="-36" w:hanging="0"/>
              <w:jc w:val="center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pacing w:val="-16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pacing w:val="-16"/>
                <w:sz w:val="26"/>
                <w:szCs w:val="26"/>
                <w:u w:val="none"/>
              </w:rPr>
              <w:t>使用前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</w:tabs>
              <w:bidi w:val="0"/>
              <w:spacing w:lineRule="atLeast" w:line="500"/>
              <w:ind w:left="0" w:right="0" w:hanging="0"/>
              <w:jc w:val="left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每批</w:t>
            </w:r>
          </w:p>
          <w:p>
            <w:pPr>
              <w:pStyle w:val="Normal"/>
              <w:tabs>
                <w:tab w:val="clear" w:pos="480"/>
              </w:tabs>
              <w:bidi w:val="0"/>
              <w:spacing w:lineRule="atLeast" w:line="500"/>
              <w:ind w:left="0" w:right="0" w:hanging="0"/>
              <w:jc w:val="left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檢驗</w:t>
            </w: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1</w:t>
            </w: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次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108" w:leader="none"/>
              </w:tabs>
              <w:bidi w:val="0"/>
              <w:spacing w:lineRule="atLeast" w:line="300"/>
              <w:ind w:left="0" w:right="-29" w:hanging="0"/>
              <w:jc w:val="left"/>
              <w:rPr>
                <w:b w:val="false"/>
                <w:b w:val="false"/>
                <w:bCs w:val="false"/>
                <w:color w:val="000000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設計圖說或</w:t>
            </w: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 xml:space="preserve">CNS </w:t>
            </w: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941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-29" w:right="-29" w:hanging="0"/>
              <w:jc w:val="center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CNS 941</w:t>
            </w:r>
          </w:p>
        </w:tc>
      </w:tr>
      <w:tr>
        <w:trPr>
          <w:trHeight w:val="792" w:hRule="atLeast"/>
        </w:trPr>
        <w:tc>
          <w:tcPr>
            <w:tcW w:w="13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0" w:right="0" w:hanging="0"/>
              <w:jc w:val="righ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鍍鋅量</w:t>
            </w:r>
          </w:p>
        </w:tc>
        <w:tc>
          <w:tcPr>
            <w:tcW w:w="13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-29" w:right="-29" w:hanging="0"/>
              <w:jc w:val="center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sz w:val="26"/>
                <w:szCs w:val="26"/>
                <w:u w:val="none"/>
              </w:rPr>
            </w:pP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sz w:val="26"/>
                <w:szCs w:val="26"/>
                <w:u w:val="none"/>
              </w:rPr>
              <w:t>CNS 1247</w:t>
            </w:r>
          </w:p>
        </w:tc>
      </w:tr>
      <w:tr>
        <w:trPr>
          <w:trHeight w:val="732" w:hRule="atLeast"/>
        </w:trPr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0" w:right="0" w:hanging="0"/>
              <w:jc w:val="center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strike w:val="false"/>
                <w:dstrike w:val="false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8"/>
                <w:szCs w:val="28"/>
                <w:u w:val="none"/>
              </w:rPr>
              <w:t>鋼索夾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0" w:right="0" w:hanging="0"/>
              <w:jc w:val="righ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kern w:val="0"/>
                <w:sz w:val="26"/>
                <w:szCs w:val="26"/>
                <w:u w:val="none"/>
              </w:rPr>
              <w:t>扭力試驗</w:t>
            </w:r>
          </w:p>
        </w:tc>
        <w:tc>
          <w:tcPr>
            <w:tcW w:w="13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-29" w:right="-29" w:hanging="0"/>
              <w:jc w:val="left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position w:val="0"/>
                <w:sz w:val="26"/>
                <w:sz w:val="26"/>
                <w:szCs w:val="26"/>
                <w:u w:val="none"/>
                <w:vertAlign w:val="baseline"/>
              </w:rPr>
            </w:pPr>
            <w:r>
              <w:rPr>
                <w:rFonts w:ascii="標楷體" w:hAnsi="標楷體" w:cs="標楷體" w:eastAsia="標楷體"/>
                <w:b w:val="false"/>
                <w:bCs w:val="false"/>
                <w:color w:val="000000"/>
                <w:position w:val="0"/>
                <w:sz w:val="26"/>
                <w:sz w:val="26"/>
                <w:szCs w:val="26"/>
                <w:u w:val="none"/>
                <w:vertAlign w:val="baseline"/>
              </w:rPr>
              <w:t>設計圖說或</w:t>
            </w: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position w:val="0"/>
                <w:sz w:val="26"/>
                <w:sz w:val="26"/>
                <w:szCs w:val="26"/>
                <w:u w:val="none"/>
                <w:vertAlign w:val="baseline"/>
              </w:rPr>
              <w:t>CNS 5398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00"/>
              <w:ind w:left="-29" w:right="-29" w:hanging="0"/>
              <w:jc w:val="center"/>
              <w:rPr>
                <w:rFonts w:ascii="標楷體" w:hAnsi="標楷體" w:eastAsia="標楷體" w:cs="標楷體"/>
                <w:b w:val="false"/>
                <w:b w:val="false"/>
                <w:bCs w:val="false"/>
                <w:color w:val="000000"/>
                <w:position w:val="0"/>
                <w:sz w:val="26"/>
                <w:sz w:val="26"/>
                <w:szCs w:val="26"/>
                <w:u w:val="none"/>
                <w:vertAlign w:val="baseline"/>
              </w:rPr>
            </w:pPr>
            <w:r>
              <w:rPr>
                <w:rFonts w:eastAsia="標楷體" w:cs="標楷體" w:ascii="標楷體" w:hAnsi="標楷體"/>
                <w:b w:val="false"/>
                <w:bCs w:val="false"/>
                <w:color w:val="000000"/>
                <w:position w:val="0"/>
                <w:sz w:val="26"/>
                <w:sz w:val="26"/>
                <w:szCs w:val="26"/>
                <w:u w:val="none"/>
                <w:vertAlign w:val="baseline"/>
              </w:rPr>
              <w:t>CNS 5398</w:t>
            </w:r>
          </w:p>
        </w:tc>
      </w:tr>
      <w:tr>
        <w:trPr>
          <w:trHeight w:val="6756" w:hRule="atLeast"/>
        </w:trPr>
        <w:tc>
          <w:tcPr>
            <w:tcW w:w="884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400" w:before="156" w:after="156"/>
              <w:ind w:left="454" w:right="0" w:hanging="397"/>
              <w:jc w:val="lef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</w:pP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1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、鋼索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(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纜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)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拉力及鍍鋅量試驗依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CNS941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規定，如使用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CNS 941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規範之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G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種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6X24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標稱直徑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20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、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22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、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24mm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檢驗標準值規定如下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</w:rPr>
              <w:t>:</w:t>
            </w:r>
          </w:p>
          <w:tbl>
            <w:tblPr>
              <w:tblW w:w="5892" w:type="dxa"/>
              <w:jc w:val="left"/>
              <w:tblInd w:w="996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1716"/>
              <w:gridCol w:w="2028"/>
              <w:gridCol w:w="2148"/>
            </w:tblGrid>
            <w:tr>
              <w:trPr/>
              <w:tc>
                <w:tcPr>
                  <w:tcW w:w="17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tabs>
                      <w:tab w:val="clear" w:pos="480"/>
                      <w:tab w:val="left" w:pos="504" w:leader="none"/>
                    </w:tabs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鋼索標稱直徑</w:t>
                  </w:r>
                </w:p>
              </w:tc>
              <w:tc>
                <w:tcPr>
                  <w:tcW w:w="20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最小拉斷負載</w:t>
                  </w:r>
                </w:p>
              </w:tc>
              <w:tc>
                <w:tcPr>
                  <w:tcW w:w="21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鍍鋅量最小值</w:t>
                  </w:r>
                </w:p>
              </w:tc>
            </w:tr>
            <w:tr>
              <w:trPr/>
              <w:tc>
                <w:tcPr>
                  <w:tcW w:w="1716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20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mm</w:t>
                  </w:r>
                </w:p>
              </w:tc>
              <w:tc>
                <w:tcPr>
                  <w:tcW w:w="20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183KN</w:t>
                  </w:r>
                </w:p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(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18,660kgf)</w:t>
                  </w:r>
                </w:p>
              </w:tc>
              <w:tc>
                <w:tcPr>
                  <w:tcW w:w="214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95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g/m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1716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22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mm</w:t>
                  </w:r>
                </w:p>
              </w:tc>
              <w:tc>
                <w:tcPr>
                  <w:tcW w:w="20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222KN</w:t>
                  </w:r>
                </w:p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(22,6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38kgf)</w:t>
                  </w:r>
                </w:p>
              </w:tc>
              <w:tc>
                <w:tcPr>
                  <w:tcW w:w="214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95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g/m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  <w:vertAlign w:val="superscript"/>
                    </w:rPr>
                    <w:t>2</w:t>
                  </w:r>
                </w:p>
              </w:tc>
            </w:tr>
            <w:tr>
              <w:trPr/>
              <w:tc>
                <w:tcPr>
                  <w:tcW w:w="1716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24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mm</w:t>
                  </w:r>
                </w:p>
              </w:tc>
              <w:tc>
                <w:tcPr>
                  <w:tcW w:w="2028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264KN</w:t>
                  </w:r>
                </w:p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(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26,920kgf)</w:t>
                  </w:r>
                </w:p>
              </w:tc>
              <w:tc>
                <w:tcPr>
                  <w:tcW w:w="214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110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g/m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  <w:vertAlign w:val="superscript"/>
                    </w:rPr>
                    <w:t>2</w:t>
                  </w:r>
                </w:p>
              </w:tc>
            </w:tr>
          </w:tbl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60" w:before="156" w:after="156"/>
              <w:ind w:left="510" w:right="0" w:hanging="397"/>
              <w:jc w:val="lef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strike w:val="false"/>
                <w:dstrike w:val="false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8"/>
                <w:szCs w:val="28"/>
                <w:u w:val="none"/>
              </w:rPr>
              <w:t>2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8"/>
                <w:szCs w:val="28"/>
                <w:u w:val="none"/>
              </w:rPr>
              <w:t>、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鋼索夾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最小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扭力值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依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CNS 5398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規定，如使用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CNS 5398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規範表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6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第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1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型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A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類標稱直徑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20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、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22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、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25mm</w:t>
            </w:r>
            <w:r>
              <w:rPr>
                <w:rFonts w:ascii="標楷體" w:hAnsi="標楷體" w:cs="標楷體" w:eastAsia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檢驗標準值規定如下</w:t>
            </w: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  <w:t>:</w:t>
            </w:r>
          </w:p>
          <w:tbl>
            <w:tblPr>
              <w:tblW w:w="6408" w:type="dxa"/>
              <w:jc w:val="left"/>
              <w:tblInd w:w="72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2040"/>
              <w:gridCol w:w="2040"/>
              <w:gridCol w:w="2328"/>
            </w:tblGrid>
            <w:tr>
              <w:trPr/>
              <w:tc>
                <w:tcPr>
                  <w:tcW w:w="20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tabs>
                      <w:tab w:val="clear" w:pos="480"/>
                      <w:tab w:val="left" w:pos="504" w:leader="none"/>
                    </w:tabs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鋼索夾標稱直徑</w:t>
                  </w:r>
                </w:p>
              </w:tc>
              <w:tc>
                <w:tcPr>
                  <w:tcW w:w="20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最小扭力值</w:t>
                  </w:r>
                </w:p>
              </w:tc>
              <w:tc>
                <w:tcPr>
                  <w:tcW w:w="23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備註</w:t>
                  </w:r>
                </w:p>
              </w:tc>
            </w:tr>
            <w:tr>
              <w:trPr/>
              <w:tc>
                <w:tcPr>
                  <w:tcW w:w="2040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20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mm(3/4”)</w:t>
                  </w:r>
                </w:p>
              </w:tc>
              <w:tc>
                <w:tcPr>
                  <w:tcW w:w="2040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 xml:space="preserve">1380 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kg-cm</w:t>
                  </w:r>
                </w:p>
              </w:tc>
              <w:tc>
                <w:tcPr>
                  <w:tcW w:w="2328" w:type="dxa"/>
                  <w:vMerge w:val="restart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Style22"/>
                    <w:jc w:val="left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試驗扭力為依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CNS 5398</w:t>
                  </w: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表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6</w:t>
                  </w: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及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4.3.2</w:t>
                  </w: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規定增加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10%</w:t>
                  </w:r>
                  <w:r>
                    <w:rPr>
                      <w:rFonts w:ascii="標楷體" w:hAnsi="標楷體" w:cs="標楷體" w:eastAsia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之扭力值。</w:t>
                  </w:r>
                </w:p>
              </w:tc>
            </w:tr>
            <w:tr>
              <w:trPr/>
              <w:tc>
                <w:tcPr>
                  <w:tcW w:w="2040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22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mm(7/8”)</w:t>
                  </w:r>
                </w:p>
              </w:tc>
              <w:tc>
                <w:tcPr>
                  <w:tcW w:w="2040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1934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 xml:space="preserve"> kg-cm</w:t>
                  </w:r>
                </w:p>
              </w:tc>
              <w:tc>
                <w:tcPr>
                  <w:tcW w:w="2328" w:type="dxa"/>
                  <w:vMerge w:val="continue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040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2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5mm(1”)</w:t>
                  </w:r>
                </w:p>
              </w:tc>
              <w:tc>
                <w:tcPr>
                  <w:tcW w:w="2040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>
                  <w:pPr>
                    <w:pStyle w:val="Style22"/>
                    <w:jc w:val="center"/>
                    <w:rPr>
                      <w:rFonts w:ascii="標楷體" w:hAnsi="標楷體" w:eastAsia="標楷體" w:cs="標楷體"/>
                      <w:b w:val="false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</w:pP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>1934</w:t>
                  </w:r>
                  <w:r>
                    <w:rPr>
                      <w:rFonts w:eastAsia="標楷體" w:cs="標楷體" w:ascii="標楷體" w:hAnsi="標楷體"/>
                      <w:b w:val="false"/>
                      <w:bCs w:val="false"/>
                      <w:color w:val="000000"/>
                      <w:sz w:val="26"/>
                      <w:szCs w:val="26"/>
                      <w:u w:val="none"/>
                    </w:rPr>
                    <w:t xml:space="preserve"> kg-cm</w:t>
                  </w:r>
                </w:p>
              </w:tc>
              <w:tc>
                <w:tcPr>
                  <w:tcW w:w="2328" w:type="dxa"/>
                  <w:vMerge w:val="continue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tabs>
                <w:tab w:val="clear" w:pos="480"/>
                <w:tab w:val="left" w:pos="360" w:leader="none"/>
              </w:tabs>
              <w:bidi w:val="0"/>
              <w:spacing w:lineRule="atLeast" w:line="360" w:before="156" w:after="156"/>
              <w:ind w:left="567" w:right="0" w:hanging="454"/>
              <w:jc w:val="left"/>
              <w:textAlignment w:val="baseline"/>
              <w:rPr>
                <w:rFonts w:ascii="標楷體" w:hAnsi="標楷體" w:eastAsia="標楷體" w:cs="標楷體"/>
                <w:b w:val="false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</w:pPr>
            <w:r>
              <w:rPr>
                <w:rFonts w:eastAsia="標楷體" w:cs="標楷體" w:ascii="標楷體" w:hAnsi="標楷體"/>
                <w:b w:val="false"/>
                <w:bCs w:val="false"/>
                <w:strike w:val="false"/>
                <w:dstrike w:val="false"/>
                <w:color w:val="000000"/>
                <w:kern w:val="0"/>
                <w:sz w:val="26"/>
                <w:szCs w:val="26"/>
                <w:u w:val="none"/>
                <w:shd w:fill="auto" w:val="clear"/>
              </w:rPr>
            </w:r>
          </w:p>
        </w:tc>
      </w:tr>
    </w:tbl>
    <w:p>
      <w:pPr>
        <w:pStyle w:val="11"/>
        <w:bidi w:val="0"/>
        <w:spacing w:lineRule="exact" w:line="500"/>
        <w:ind w:left="0" w:right="0" w:hanging="0"/>
        <w:jc w:val="left"/>
        <w:textAlignment w:val="center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</w:r>
    </w:p>
    <w:p>
      <w:pPr>
        <w:pStyle w:val="11"/>
        <w:bidi w:val="0"/>
        <w:spacing w:lineRule="exact" w:line="500"/>
        <w:ind w:left="0" w:right="0" w:hanging="0"/>
        <w:jc w:val="left"/>
        <w:textAlignment w:val="center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 xml:space="preserve">3.6.3  </w:t>
      </w:r>
      <w:r>
        <w:rPr>
          <w:rFonts w:cs="標楷體"/>
          <w:sz w:val="28"/>
          <w:szCs w:val="28"/>
        </w:rPr>
        <w:t>混凝土塊依設計圖說製作，許可差不得小於設計尺度之</w:t>
      </w:r>
      <w:r>
        <w:rPr>
          <w:rFonts w:cs="標楷體"/>
          <w:sz w:val="28"/>
          <w:szCs w:val="28"/>
        </w:rPr>
        <w:t>1</w:t>
      </w:r>
      <w:r>
        <w:rPr>
          <w:rFonts w:cs="標楷體"/>
          <w:sz w:val="28"/>
          <w:szCs w:val="28"/>
        </w:rPr>
        <w:t>％。</w:t>
      </w:r>
    </w:p>
    <w:p>
      <w:pPr>
        <w:pStyle w:val="11"/>
        <w:tabs>
          <w:tab w:val="clear" w:pos="480"/>
          <w:tab w:val="left" w:pos="0" w:leader="none"/>
        </w:tabs>
        <w:bidi w:val="0"/>
        <w:spacing w:lineRule="exact" w:line="500"/>
        <w:ind w:left="0" w:right="0" w:hanging="0"/>
        <w:jc w:val="right"/>
        <w:textAlignment w:val="center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</w:r>
    </w:p>
    <w:p>
      <w:pPr>
        <w:pStyle w:val="1"/>
        <w:bidi w:val="0"/>
        <w:spacing w:lineRule="exact" w:line="1000"/>
        <w:ind w:left="964" w:right="0" w:hanging="964"/>
        <w:jc w:val="left"/>
        <w:rPr>
          <w:b/>
          <w:b/>
        </w:rPr>
      </w:pPr>
      <w:r>
        <w:rPr>
          <w:b/>
        </w:rPr>
        <w:t>4.</w:t>
        <w:tab/>
      </w:r>
      <w:r>
        <w:rPr>
          <w:b/>
        </w:rPr>
        <w:t>計量與計價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ascii="標楷體" w:hAnsi="標楷體" w:eastAsia="標楷體" w:cs="標楷體"/>
          <w:sz w:val="28"/>
          <w:szCs w:val="28"/>
        </w:rPr>
      </w:pPr>
      <w:r>
        <w:rPr>
          <w:rFonts w:eastAsia="標楷體" w:cs="標楷體" w:ascii="標楷體" w:hAnsi="標楷體"/>
          <w:sz w:val="28"/>
          <w:szCs w:val="28"/>
        </w:rPr>
        <w:t>4.1</w:t>
        <w:tab/>
      </w:r>
      <w:r>
        <w:rPr>
          <w:rFonts w:ascii="標楷體" w:hAnsi="標楷體" w:cs="標楷體" w:eastAsia="標楷體"/>
          <w:sz w:val="28"/>
          <w:szCs w:val="28"/>
        </w:rPr>
        <w:t>計量</w:t>
      </w:r>
    </w:p>
    <w:p>
      <w:pPr>
        <w:pStyle w:val="Style18"/>
        <w:bidi w:val="0"/>
        <w:spacing w:lineRule="exact" w:line="500"/>
        <w:ind w:left="964" w:right="0" w:hanging="0"/>
        <w:rPr>
          <w:rFonts w:ascii="標楷體" w:hAnsi="標楷體" w:eastAsia="標楷體" w:cs="標楷體"/>
          <w:sz w:val="28"/>
          <w:szCs w:val="28"/>
        </w:rPr>
      </w:pPr>
      <w:r>
        <w:rPr>
          <w:rFonts w:ascii="標楷體" w:hAnsi="標楷體" w:cs="標楷體" w:eastAsia="標楷體"/>
          <w:sz w:val="28"/>
          <w:szCs w:val="28"/>
        </w:rPr>
        <w:t>本章工作混凝土以「塊」計量、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鋼筋以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「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公噸</w:t>
      </w:r>
      <w:r>
        <w:rPr>
          <w:rFonts w:eastAsia="標楷體" w:cs="標楷體" w:ascii="標楷體" w:hAnsi="標楷體"/>
          <w:b w:val="false"/>
          <w:bCs w:val="false"/>
          <w:color w:val="000000"/>
          <w:sz w:val="28"/>
          <w:szCs w:val="28"/>
          <w:u w:val="none"/>
        </w:rPr>
        <w:t>(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或公斤</w:t>
      </w:r>
      <w:r>
        <w:rPr>
          <w:rFonts w:eastAsia="標楷體" w:cs="標楷體" w:ascii="標楷體" w:hAnsi="標楷體"/>
          <w:b w:val="false"/>
          <w:bCs w:val="false"/>
          <w:color w:val="000000"/>
          <w:sz w:val="28"/>
          <w:szCs w:val="28"/>
          <w:u w:val="none"/>
        </w:rPr>
        <w:t>)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」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計量、鋼索</w:t>
      </w:r>
      <w:r>
        <w:rPr>
          <w:rFonts w:eastAsia="標楷體" w:cs="標楷體" w:ascii="標楷體" w:hAnsi="標楷體"/>
          <w:b w:val="false"/>
          <w:bCs w:val="false"/>
          <w:color w:val="000000"/>
          <w:sz w:val="28"/>
          <w:szCs w:val="28"/>
          <w:u w:val="none"/>
        </w:rPr>
        <w:t>(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纜</w:t>
      </w:r>
      <w:r>
        <w:rPr>
          <w:rFonts w:eastAsia="標楷體" w:cs="標楷體" w:ascii="標楷體" w:hAnsi="標楷體"/>
          <w:b w:val="false"/>
          <w:bCs w:val="false"/>
          <w:color w:val="000000"/>
          <w:sz w:val="28"/>
          <w:szCs w:val="28"/>
          <w:u w:val="none"/>
        </w:rPr>
        <w:t>)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以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「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公尺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」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計量、鋼索夾以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「個」計量</w:t>
      </w:r>
      <w:r>
        <w:rPr>
          <w:rFonts w:ascii="標楷體" w:hAnsi="標楷體" w:cs="標楷體" w:eastAsia="標楷體"/>
          <w:b w:val="false"/>
          <w:bCs w:val="false"/>
          <w:color w:val="000000"/>
          <w:sz w:val="28"/>
          <w:szCs w:val="28"/>
          <w:u w:val="none"/>
        </w:rPr>
        <w:t>。</w:t>
      </w:r>
    </w:p>
    <w:p>
      <w:pPr>
        <w:pStyle w:val="11"/>
        <w:bidi w:val="0"/>
        <w:spacing w:lineRule="exact" w:line="500" w:before="180" w:after="0"/>
        <w:ind w:left="966" w:right="0" w:hanging="966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4.2</w:t>
        <w:tab/>
      </w:r>
      <w:r>
        <w:rPr>
          <w:rFonts w:cs="標楷體"/>
          <w:sz w:val="28"/>
          <w:szCs w:val="28"/>
        </w:rPr>
        <w:t>計價</w:t>
      </w:r>
    </w:p>
    <w:p>
      <w:pPr>
        <w:pStyle w:val="11"/>
        <w:bidi w:val="0"/>
        <w:spacing w:lineRule="exact" w:line="500"/>
        <w:ind w:left="964" w:right="0" w:hanging="964"/>
        <w:rPr>
          <w:rFonts w:cs="標楷體"/>
          <w:sz w:val="28"/>
          <w:szCs w:val="28"/>
        </w:rPr>
      </w:pPr>
      <w:r>
        <w:rPr>
          <w:rFonts w:cs="標楷體"/>
          <w:sz w:val="28"/>
          <w:szCs w:val="28"/>
        </w:rPr>
        <w:t>4.2.1</w:t>
        <w:tab/>
      </w:r>
      <w:r>
        <w:rPr>
          <w:rFonts w:cs="標楷體"/>
          <w:sz w:val="28"/>
          <w:szCs w:val="28"/>
        </w:rPr>
        <w:t>本章工作依契約單價計價，除塊間聯結材料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如鋼索</w:t>
      </w:r>
      <w:r>
        <w:rPr>
          <w:rFonts w:cs="標楷體"/>
          <w:sz w:val="28"/>
          <w:szCs w:val="28"/>
        </w:rPr>
        <w:t>(</w:t>
      </w:r>
      <w:r>
        <w:rPr>
          <w:rFonts w:cs="標楷體"/>
          <w:sz w:val="28"/>
          <w:szCs w:val="28"/>
        </w:rPr>
        <w:t>纜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、鋼索夾、鋼筋等</w:t>
      </w:r>
      <w:r>
        <w:rPr>
          <w:rFonts w:cs="標楷體"/>
          <w:sz w:val="28"/>
          <w:szCs w:val="28"/>
        </w:rPr>
        <w:t>)</w:t>
      </w:r>
      <w:r>
        <w:rPr>
          <w:rFonts w:cs="標楷體"/>
          <w:sz w:val="28"/>
          <w:szCs w:val="28"/>
        </w:rPr>
        <w:t>另計外，每塊單價已包括鋼模、吊耳鋼筋、混凝土澆置、養護、運搬、儲存、吊放及其他有關工作等所需之一切人工、材料、運搬、設備、機具及場地整理租金維護等費用。</w:t>
      </w:r>
    </w:p>
    <w:sectPr>
      <w:footerReference w:type="default" r:id="rId2"/>
      <w:type w:val="nextPage"/>
      <w:pgSz w:w="11906" w:h="16951"/>
      <w:pgMar w:left="1134" w:right="1134" w:header="0" w:top="850" w:footer="794" w:bottom="1360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標楷體">
    <w:charset w:val="8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88"/>
    <w:family w:val="swiss"/>
    <w:pitch w:val="variable"/>
  </w:font>
  <w:font w:name="Calibri">
    <w:charset w:val="88"/>
    <w:family w:val="roman"/>
    <w:pitch w:val="variable"/>
  </w:font>
  <w:font w:name="標楷體">
    <w:charset w:val="88"/>
    <w:family w:val="script"/>
    <w:pitch w:val="fixed"/>
  </w:font>
  <w:font w:name="標楷體">
    <w:charset w:val="88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新細明體" w:cs="Mangal"/>
        <w:kern w:val="2"/>
        <w:sz w:val="24"/>
        <w:szCs w:val="24"/>
        <w:lang w:val="en-US" w:eastAsia="zh-TW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新細明體" w:cs="Mangal"/>
      <w:color w:val="auto"/>
      <w:kern w:val="2"/>
      <w:sz w:val="24"/>
      <w:szCs w:val="24"/>
      <w:lang w:val="en-US" w:eastAsia="zh-TW" w:bidi="hi-IN"/>
    </w:rPr>
  </w:style>
  <w:style w:type="character" w:styleId="DefaultParagraphFont">
    <w:name w:val="Default Paragraph Font"/>
    <w:qFormat/>
    <w:rPr/>
  </w:style>
  <w:style w:type="character" w:styleId="Style14">
    <w:name w:val="本文 字元"/>
    <w:basedOn w:val="DefaultParagraphFont"/>
    <w:qFormat/>
    <w:rPr>
      <w:rFonts w:ascii="標楷體" w:hAnsi="標楷體" w:eastAsia="標楷體" w:cs="Times New Roman"/>
      <w:sz w:val="20"/>
      <w:szCs w:val="20"/>
    </w:rPr>
  </w:style>
  <w:style w:type="character" w:styleId="Style15">
    <w:name w:val="頁尾 字元"/>
    <w:basedOn w:val="DefaultParagraphFont"/>
    <w:qFormat/>
    <w:rPr>
      <w:rFonts w:cs="Times New Roman"/>
      <w:sz w:val="20"/>
      <w:szCs w:val="20"/>
    </w:rPr>
  </w:style>
  <w:style w:type="character" w:styleId="Style16">
    <w:name w:val="項目符號"/>
    <w:qFormat/>
    <w:rPr>
      <w:rFonts w:ascii="OpenSymbol" w:hAnsi="OpenSymbol" w:eastAsia="OpenSymbol" w:cs="OpenSymbol"/>
    </w:rPr>
  </w:style>
  <w:style w:type="paragraph" w:styleId="Style17">
    <w:name w:val="標題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索引"/>
    <w:basedOn w:val="Normal"/>
    <w:qFormat/>
    <w:pPr>
      <w:suppressLineNumbers/>
    </w:pPr>
    <w:rPr>
      <w:rFonts w:cs="Mangal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Calibri" w:hAnsi="Calibri" w:eastAsia="新細明體" w:cs="Calibri"/>
      <w:color w:val="auto"/>
      <w:kern w:val="2"/>
      <w:sz w:val="24"/>
      <w:szCs w:val="22"/>
      <w:lang w:val="en-US" w:eastAsia="zh-TW" w:bidi="ar-SA"/>
    </w:rPr>
  </w:style>
  <w:style w:type="paragraph" w:styleId="1">
    <w:name w:val="1."/>
    <w:basedOn w:val="Normal"/>
    <w:qFormat/>
    <w:pPr>
      <w:spacing w:lineRule="exact" w:line="1500"/>
      <w:ind w:left="964" w:right="0" w:hanging="964"/>
      <w:jc w:val="both"/>
      <w:textAlignment w:val="center"/>
    </w:pPr>
    <w:rPr>
      <w:rFonts w:ascii="標楷體" w:hAnsi="標楷體" w:eastAsia="標楷體" w:cs="Times New Roman"/>
      <w:sz w:val="32"/>
      <w:szCs w:val="20"/>
    </w:rPr>
  </w:style>
  <w:style w:type="paragraph" w:styleId="11">
    <w:name w:val="1.1"/>
    <w:basedOn w:val="Normal"/>
    <w:qFormat/>
    <w:pPr>
      <w:spacing w:lineRule="exact" w:line="500"/>
      <w:ind w:left="964" w:right="0" w:hanging="964"/>
      <w:jc w:val="both"/>
      <w:textAlignment w:val="center"/>
    </w:pPr>
    <w:rPr>
      <w:rFonts w:ascii="標楷體" w:hAnsi="標楷體" w:eastAsia="標楷體" w:cs="Times New Roman"/>
      <w:sz w:val="26"/>
      <w:szCs w:val="20"/>
    </w:rPr>
  </w:style>
  <w:style w:type="paragraph" w:styleId="Style22">
    <w:name w:val="表格內容"/>
    <w:basedOn w:val="Normal"/>
    <w:qFormat/>
    <w:pPr>
      <w:suppressLineNumbers/>
    </w:pPr>
    <w:rPr/>
  </w:style>
  <w:style w:type="paragraph" w:styleId="Style23">
    <w:name w:val="表格標題"/>
    <w:basedOn w:val="Style22"/>
    <w:qFormat/>
    <w:pPr>
      <w:suppressLineNumbers/>
      <w:jc w:val="center"/>
    </w:pPr>
    <w:rPr>
      <w:b/>
      <w:bCs/>
    </w:rPr>
  </w:style>
  <w:style w:type="paragraph" w:styleId="DocumentMap">
    <w:name w:val="DocumentMap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Calibri" w:hAnsi="Calibri" w:eastAsia="新細明體" w:cs="Calibri"/>
      <w:color w:val="auto"/>
      <w:kern w:val="2"/>
      <w:sz w:val="24"/>
      <w:szCs w:val="22"/>
      <w:lang w:val="en-US" w:eastAsia="zh-TW" w:bidi="ar-SA"/>
    </w:rPr>
  </w:style>
  <w:style w:type="paragraph" w:styleId="Style24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25">
    <w:name w:val="Footer"/>
    <w:basedOn w:val="Style24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355</TotalTime>
  <Application>LibreOffice/7.1.1.2$Windows_X86_64 LibreOffice_project/fe0b08f4af1bacafe4c7ecc87ce55bb426164676</Application>
  <AppVersion>15.0000</AppVersion>
  <Pages>5</Pages>
  <Words>1994</Words>
  <Characters>2446</Characters>
  <CharactersWithSpaces>2579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2021-05-31T15:19:45Z</dcterms:created>
  <dc:creator/>
  <dc:description/>
  <dc:language>zh-TW</dc:language>
  <cp:lastModifiedBy/>
  <cp:lastPrinted>2023-04-08T14:22:13Z</cp:lastPrinted>
  <dcterms:modified xsi:type="dcterms:W3CDTF">2021-11-05T10:09:24Z</dcterms:modified>
  <cp:revision>67</cp:revision>
  <dc:subject/>
  <dc:title/>
</cp:coreProperties>
</file>