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56" w:rsidRPr="00E2142C" w:rsidRDefault="00550C56" w:rsidP="00E2142C">
      <w:pPr>
        <w:pStyle w:val="10"/>
        <w:spacing w:line="500" w:lineRule="exact"/>
        <w:ind w:left="0"/>
        <w:jc w:val="center"/>
        <w:rPr>
          <w:rFonts w:ascii="標楷體" w:eastAsia="標楷體" w:hAnsi="標楷體"/>
          <w:bCs/>
          <w:sz w:val="36"/>
          <w:szCs w:val="36"/>
        </w:rPr>
      </w:pPr>
      <w:bookmarkStart w:id="0" w:name="_GoBack"/>
      <w:bookmarkEnd w:id="0"/>
      <w:r w:rsidRPr="00E2142C">
        <w:rPr>
          <w:rFonts w:ascii="標楷體" w:eastAsia="標楷體" w:hAnsi="標楷體" w:hint="eastAsia"/>
          <w:bCs/>
          <w:sz w:val="36"/>
          <w:szCs w:val="36"/>
        </w:rPr>
        <w:t>經濟部水利署施工規範</w:t>
      </w:r>
    </w:p>
    <w:p w:rsidR="00550C56" w:rsidRPr="00E2142C" w:rsidRDefault="00550C56" w:rsidP="00E2142C">
      <w:pPr>
        <w:pStyle w:val="a5"/>
        <w:spacing w:before="0" w:after="0" w:line="500" w:lineRule="exact"/>
        <w:rPr>
          <w:rFonts w:ascii="標楷體" w:eastAsia="標楷體" w:hAnsi="標楷體"/>
          <w:b w:val="0"/>
          <w:sz w:val="36"/>
          <w:szCs w:val="36"/>
        </w:rPr>
      </w:pPr>
      <w:r w:rsidRPr="00E2142C">
        <w:rPr>
          <w:rFonts w:ascii="標楷體" w:eastAsia="標楷體" w:hAnsi="標楷體" w:hint="eastAsia"/>
          <w:b w:val="0"/>
          <w:sz w:val="36"/>
          <w:szCs w:val="36"/>
        </w:rPr>
        <w:t>第</w:t>
      </w:r>
      <w:r w:rsidRPr="00E2142C">
        <w:rPr>
          <w:rFonts w:ascii="標楷體" w:eastAsia="標楷體" w:hAnsi="標楷體"/>
          <w:b w:val="0"/>
          <w:sz w:val="36"/>
          <w:szCs w:val="36"/>
        </w:rPr>
        <w:t>0272</w:t>
      </w:r>
      <w:r w:rsidRPr="00E2142C">
        <w:rPr>
          <w:rFonts w:ascii="標楷體" w:eastAsia="標楷體" w:hAnsi="標楷體" w:hint="eastAsia"/>
          <w:b w:val="0"/>
          <w:sz w:val="36"/>
          <w:szCs w:val="36"/>
        </w:rPr>
        <w:t>6章級配粒料底層</w:t>
      </w:r>
    </w:p>
    <w:p w:rsidR="0008172C" w:rsidRDefault="00556565" w:rsidP="00660885">
      <w:pPr>
        <w:pStyle w:val="a5"/>
        <w:spacing w:after="0"/>
        <w:jc w:val="right"/>
        <w:rPr>
          <w:rFonts w:ascii="標楷體" w:eastAsia="標楷體" w:hAnsi="標楷體"/>
          <w:b w:val="0"/>
          <w:color w:val="000000"/>
          <w:sz w:val="22"/>
          <w:szCs w:val="22"/>
        </w:rPr>
      </w:pPr>
      <w:r>
        <w:rPr>
          <w:rFonts w:ascii="標楷體" w:eastAsia="標楷體" w:hAnsi="標楷體" w:hint="eastAsia"/>
          <w:b w:val="0"/>
          <w:color w:val="000000"/>
          <w:sz w:val="22"/>
          <w:szCs w:val="22"/>
        </w:rPr>
        <w:t>95年4月14日頒訂</w:t>
      </w:r>
    </w:p>
    <w:p w:rsidR="00E2142C" w:rsidRPr="00CA4199" w:rsidRDefault="00E2142C" w:rsidP="00660885">
      <w:pPr>
        <w:pStyle w:val="a5"/>
        <w:spacing w:before="0"/>
        <w:jc w:val="right"/>
        <w:rPr>
          <w:rFonts w:ascii="標楷體" w:eastAsia="標楷體" w:hAnsi="標楷體"/>
          <w:b w:val="0"/>
          <w:sz w:val="22"/>
          <w:szCs w:val="22"/>
        </w:rPr>
      </w:pPr>
      <w:r w:rsidRPr="00CA4199">
        <w:rPr>
          <w:rFonts w:ascii="標楷體" w:eastAsia="標楷體" w:hAnsi="標楷體" w:hint="eastAsia"/>
          <w:b w:val="0"/>
          <w:color w:val="000000"/>
          <w:sz w:val="22"/>
          <w:szCs w:val="22"/>
        </w:rPr>
        <w:t>10</w:t>
      </w:r>
      <w:r w:rsidR="00CA4199" w:rsidRPr="00CA4199">
        <w:rPr>
          <w:rFonts w:ascii="標楷體" w:eastAsia="標楷體" w:hAnsi="標楷體" w:hint="eastAsia"/>
          <w:b w:val="0"/>
          <w:color w:val="000000"/>
          <w:sz w:val="22"/>
          <w:szCs w:val="22"/>
        </w:rPr>
        <w:t>5</w:t>
      </w:r>
      <w:r w:rsidRPr="00CA4199">
        <w:rPr>
          <w:rFonts w:ascii="標楷體" w:eastAsia="標楷體" w:hAnsi="標楷體" w:hint="eastAsia"/>
          <w:b w:val="0"/>
          <w:color w:val="000000"/>
          <w:sz w:val="22"/>
          <w:szCs w:val="22"/>
        </w:rPr>
        <w:t>年</w:t>
      </w:r>
      <w:r w:rsidR="00CA4199" w:rsidRPr="00CA4199">
        <w:rPr>
          <w:rFonts w:ascii="標楷體" w:eastAsia="標楷體" w:hAnsi="標楷體" w:hint="eastAsia"/>
          <w:b w:val="0"/>
          <w:color w:val="000000"/>
          <w:sz w:val="22"/>
          <w:szCs w:val="22"/>
        </w:rPr>
        <w:t>1</w:t>
      </w:r>
      <w:r w:rsidRPr="00CA4199">
        <w:rPr>
          <w:rFonts w:ascii="標楷體" w:eastAsia="標楷體" w:hAnsi="標楷體" w:hint="eastAsia"/>
          <w:b w:val="0"/>
          <w:color w:val="000000"/>
          <w:sz w:val="22"/>
          <w:szCs w:val="22"/>
        </w:rPr>
        <w:t>月</w:t>
      </w:r>
      <w:r w:rsidR="00B04B74">
        <w:rPr>
          <w:rFonts w:ascii="標楷體" w:eastAsia="標楷體" w:hAnsi="標楷體" w:hint="eastAsia"/>
          <w:b w:val="0"/>
          <w:color w:val="000000"/>
          <w:sz w:val="22"/>
          <w:szCs w:val="22"/>
        </w:rPr>
        <w:t>6</w:t>
      </w:r>
      <w:r w:rsidRPr="00CA4199">
        <w:rPr>
          <w:rFonts w:ascii="標楷體" w:eastAsia="標楷體" w:hAnsi="標楷體" w:hint="eastAsia"/>
          <w:b w:val="0"/>
          <w:color w:val="000000"/>
          <w:sz w:val="22"/>
          <w:szCs w:val="22"/>
        </w:rPr>
        <w:t>日經水工字第</w:t>
      </w:r>
      <w:r w:rsidR="00AE2E88">
        <w:rPr>
          <w:rFonts w:ascii="標楷體" w:eastAsia="標楷體" w:hAnsi="標楷體" w:hint="eastAsia"/>
          <w:b w:val="0"/>
          <w:color w:val="000000"/>
          <w:sz w:val="22"/>
          <w:szCs w:val="22"/>
        </w:rPr>
        <w:t>10505002260</w:t>
      </w:r>
      <w:r w:rsidRPr="00CA4199">
        <w:rPr>
          <w:rFonts w:ascii="標楷體" w:eastAsia="標楷體" w:hAnsi="標楷體" w:hint="eastAsia"/>
          <w:b w:val="0"/>
          <w:color w:val="000000"/>
          <w:sz w:val="22"/>
          <w:szCs w:val="22"/>
        </w:rPr>
        <w:t>號函第一次修訂</w:t>
      </w:r>
    </w:p>
    <w:p w:rsidR="00E2142C" w:rsidRPr="009C65B4" w:rsidRDefault="00E2142C" w:rsidP="000C52C8">
      <w:pPr>
        <w:spacing w:line="440" w:lineRule="exact"/>
        <w:ind w:left="624" w:hanging="624"/>
        <w:outlineLvl w:val="0"/>
        <w:rPr>
          <w:rFonts w:ascii="標楷體" w:eastAsia="標楷體" w:hAnsi="標楷體"/>
          <w:b/>
          <w:color w:val="000000" w:themeColor="text1"/>
          <w:kern w:val="52"/>
          <w:sz w:val="32"/>
        </w:rPr>
      </w:pPr>
      <w:r w:rsidRPr="009C65B4">
        <w:rPr>
          <w:rFonts w:ascii="標楷體" w:eastAsia="標楷體" w:hAnsi="標楷體"/>
          <w:b/>
          <w:color w:val="000000" w:themeColor="text1"/>
          <w:kern w:val="52"/>
          <w:sz w:val="32"/>
        </w:rPr>
        <w:t>1.</w:t>
      </w:r>
      <w:r w:rsidRPr="009C65B4">
        <w:rPr>
          <w:rFonts w:ascii="標楷體" w:eastAsia="標楷體" w:hAnsi="標楷體"/>
          <w:b/>
          <w:color w:val="000000" w:themeColor="text1"/>
          <w:kern w:val="52"/>
          <w:sz w:val="32"/>
        </w:rPr>
        <w:tab/>
      </w:r>
      <w:r w:rsidRPr="009C65B4">
        <w:rPr>
          <w:rFonts w:ascii="標楷體" w:eastAsia="標楷體" w:hAnsi="標楷體" w:hint="eastAsia"/>
          <w:b/>
          <w:color w:val="000000" w:themeColor="text1"/>
          <w:kern w:val="52"/>
          <w:sz w:val="32"/>
        </w:rPr>
        <w:t xml:space="preserve">  通則</w:t>
      </w:r>
    </w:p>
    <w:p w:rsidR="00E2142C" w:rsidRPr="00E2142C" w:rsidRDefault="00E2142C" w:rsidP="000C52C8">
      <w:pPr>
        <w:spacing w:beforeLines="50" w:before="120" w:line="440" w:lineRule="exact"/>
        <w:ind w:left="953" w:hanging="953"/>
        <w:jc w:val="both"/>
        <w:outlineLvl w:val="1"/>
        <w:rPr>
          <w:rFonts w:ascii="標楷體" w:eastAsia="標楷體" w:hAnsi="標楷體"/>
          <w:b/>
          <w:color w:val="000000" w:themeColor="text1"/>
          <w:kern w:val="0"/>
          <w:sz w:val="26"/>
        </w:rPr>
      </w:pPr>
      <w:r w:rsidRPr="00E2142C">
        <w:rPr>
          <w:rFonts w:ascii="標楷體" w:eastAsia="標楷體" w:hAnsi="標楷體"/>
          <w:b/>
          <w:color w:val="000000" w:themeColor="text1"/>
          <w:kern w:val="0"/>
          <w:sz w:val="26"/>
        </w:rPr>
        <w:t>1.1</w:t>
      </w:r>
      <w:r w:rsidRPr="00E2142C">
        <w:rPr>
          <w:rFonts w:ascii="標楷體" w:eastAsia="標楷體" w:hAnsi="標楷體"/>
          <w:b/>
          <w:color w:val="000000" w:themeColor="text1"/>
          <w:kern w:val="0"/>
          <w:sz w:val="26"/>
        </w:rPr>
        <w:tab/>
      </w:r>
      <w:r w:rsidRPr="00E2142C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本章概要</w:t>
      </w:r>
    </w:p>
    <w:p w:rsidR="00E2142C" w:rsidRPr="00E2142C" w:rsidRDefault="00E2142C" w:rsidP="000C52C8">
      <w:pPr>
        <w:spacing w:line="440" w:lineRule="exact"/>
        <w:ind w:left="953"/>
        <w:jc w:val="both"/>
        <w:rPr>
          <w:rFonts w:ascii="標楷體" w:eastAsia="標楷體" w:hAnsi="標楷體"/>
          <w:color w:val="000000" w:themeColor="text1"/>
          <w:kern w:val="0"/>
          <w:sz w:val="26"/>
        </w:rPr>
      </w:pPr>
      <w:r w:rsidRPr="00E2142C">
        <w:rPr>
          <w:rFonts w:ascii="標楷體" w:eastAsia="標楷體" w:hAnsi="標楷體" w:hint="eastAsia"/>
          <w:color w:val="000000" w:themeColor="text1"/>
          <w:kern w:val="0"/>
          <w:sz w:val="26"/>
        </w:rPr>
        <w:t>說明鋪面工程(不含臨時設施)中級配粒料底層之材料、設備、施工及檢驗等相關規定。</w:t>
      </w:r>
    </w:p>
    <w:p w:rsidR="00E2142C" w:rsidRPr="00E2142C" w:rsidRDefault="00E2142C" w:rsidP="000C52C8">
      <w:pPr>
        <w:spacing w:beforeLines="50" w:before="120" w:line="440" w:lineRule="exact"/>
        <w:ind w:left="953" w:hanging="953"/>
        <w:jc w:val="both"/>
        <w:outlineLvl w:val="1"/>
        <w:rPr>
          <w:rFonts w:ascii="標楷體" w:eastAsia="標楷體" w:hAnsi="標楷體"/>
          <w:b/>
          <w:color w:val="000000" w:themeColor="text1"/>
          <w:kern w:val="0"/>
          <w:sz w:val="26"/>
        </w:rPr>
      </w:pPr>
      <w:r w:rsidRPr="00E2142C">
        <w:rPr>
          <w:rFonts w:ascii="標楷體" w:eastAsia="標楷體" w:hAnsi="標楷體"/>
          <w:b/>
          <w:color w:val="000000" w:themeColor="text1"/>
          <w:kern w:val="0"/>
          <w:sz w:val="26"/>
        </w:rPr>
        <w:t>1.2</w:t>
      </w:r>
      <w:r w:rsidRPr="00E2142C">
        <w:rPr>
          <w:rFonts w:ascii="標楷體" w:eastAsia="標楷體" w:hAnsi="標楷體"/>
          <w:b/>
          <w:color w:val="000000" w:themeColor="text1"/>
          <w:kern w:val="0"/>
          <w:sz w:val="26"/>
        </w:rPr>
        <w:tab/>
      </w:r>
      <w:r w:rsidRPr="00E2142C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工作範圍</w:t>
      </w:r>
    </w:p>
    <w:p w:rsidR="00E2142C" w:rsidRPr="00E2142C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142C">
        <w:rPr>
          <w:rFonts w:ascii="標楷體" w:eastAsia="標楷體" w:hAnsi="標楷體" w:hint="eastAsia"/>
          <w:color w:val="000000" w:themeColor="text1"/>
          <w:kern w:val="0"/>
          <w:sz w:val="26"/>
        </w:rPr>
        <w:t>1.2.1</w:t>
      </w:r>
      <w:r w:rsidRPr="00E2142C">
        <w:rPr>
          <w:rFonts w:ascii="標楷體" w:eastAsia="標楷體" w:hAnsi="標楷體" w:hint="eastAsia"/>
          <w:color w:val="000000" w:themeColor="text1"/>
          <w:kern w:val="0"/>
          <w:sz w:val="26"/>
        </w:rPr>
        <w:tab/>
        <w:t>涵蓋底層所用級配粒料之篩選、散鋪、滾壓、維護等。</w:t>
      </w:r>
    </w:p>
    <w:p w:rsidR="00E2142C" w:rsidRPr="00E2142C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142C">
        <w:rPr>
          <w:rFonts w:ascii="標楷體" w:eastAsia="標楷體" w:hAnsi="標楷體" w:hint="eastAsia"/>
          <w:color w:val="000000" w:themeColor="text1"/>
          <w:kern w:val="0"/>
          <w:sz w:val="26"/>
        </w:rPr>
        <w:t>1.2.2</w:t>
      </w:r>
      <w:r w:rsidRPr="00E2142C">
        <w:rPr>
          <w:rFonts w:ascii="標楷體" w:eastAsia="標楷體" w:hAnsi="標楷體" w:hint="eastAsia"/>
          <w:color w:val="000000" w:themeColor="text1"/>
          <w:kern w:val="0"/>
          <w:sz w:val="26"/>
        </w:rPr>
        <w:tab/>
        <w:t>天然級配粒料底層</w:t>
      </w:r>
    </w:p>
    <w:p w:rsidR="00E2142C" w:rsidRPr="00E2142C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142C">
        <w:rPr>
          <w:rFonts w:ascii="標楷體" w:eastAsia="標楷體" w:hAnsi="標楷體" w:hint="eastAsia"/>
          <w:color w:val="000000" w:themeColor="text1"/>
          <w:kern w:val="0"/>
          <w:sz w:val="26"/>
        </w:rPr>
        <w:t>1.2.3</w:t>
      </w:r>
      <w:r w:rsidRPr="00E2142C">
        <w:rPr>
          <w:rFonts w:ascii="標楷體" w:eastAsia="標楷體" w:hAnsi="標楷體" w:hint="eastAsia"/>
          <w:color w:val="000000" w:themeColor="text1"/>
          <w:kern w:val="0"/>
          <w:sz w:val="26"/>
        </w:rPr>
        <w:tab/>
        <w:t>碎石級配粒料底層</w:t>
      </w:r>
    </w:p>
    <w:p w:rsidR="00E2142C" w:rsidRPr="00E2142C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142C">
        <w:rPr>
          <w:rFonts w:ascii="標楷體" w:eastAsia="標楷體" w:hAnsi="標楷體" w:hint="eastAsia"/>
          <w:color w:val="000000" w:themeColor="text1"/>
          <w:kern w:val="0"/>
          <w:sz w:val="26"/>
        </w:rPr>
        <w:t>1.2.4</w:t>
      </w:r>
      <w:r w:rsidRPr="00E2142C">
        <w:rPr>
          <w:rFonts w:ascii="標楷體" w:eastAsia="標楷體" w:hAnsi="標楷體" w:hint="eastAsia"/>
          <w:color w:val="000000" w:themeColor="text1"/>
          <w:kern w:val="0"/>
          <w:sz w:val="26"/>
        </w:rPr>
        <w:tab/>
        <w:t>再生級配粒料底層</w:t>
      </w:r>
    </w:p>
    <w:p w:rsidR="00E2142C" w:rsidRPr="00E2142C" w:rsidRDefault="00E2142C" w:rsidP="000C52C8">
      <w:pPr>
        <w:spacing w:beforeLines="50" w:before="120" w:line="440" w:lineRule="exact"/>
        <w:ind w:left="953" w:hanging="953"/>
        <w:jc w:val="both"/>
        <w:outlineLvl w:val="1"/>
        <w:rPr>
          <w:rFonts w:ascii="標楷體" w:eastAsia="標楷體" w:hAnsi="標楷體"/>
          <w:b/>
          <w:color w:val="000000" w:themeColor="text1"/>
          <w:kern w:val="0"/>
          <w:sz w:val="26"/>
        </w:rPr>
      </w:pPr>
      <w:r w:rsidRPr="00E2142C">
        <w:rPr>
          <w:rFonts w:ascii="標楷體" w:eastAsia="標楷體" w:hAnsi="標楷體"/>
          <w:b/>
          <w:color w:val="000000" w:themeColor="text1"/>
          <w:kern w:val="0"/>
          <w:sz w:val="26"/>
        </w:rPr>
        <w:t>1.3</w:t>
      </w:r>
      <w:r w:rsidRPr="00E2142C">
        <w:rPr>
          <w:rFonts w:ascii="標楷體" w:eastAsia="標楷體" w:hAnsi="標楷體"/>
          <w:b/>
          <w:color w:val="000000" w:themeColor="text1"/>
          <w:kern w:val="0"/>
          <w:sz w:val="26"/>
        </w:rPr>
        <w:tab/>
      </w:r>
      <w:r w:rsidRPr="00E2142C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相關章節</w:t>
      </w:r>
    </w:p>
    <w:p w:rsidR="00E2142C" w:rsidRPr="00E2142C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142C">
        <w:rPr>
          <w:rFonts w:ascii="標楷體" w:eastAsia="標楷體" w:hAnsi="標楷體" w:hint="eastAsia"/>
          <w:color w:val="000000" w:themeColor="text1"/>
          <w:kern w:val="0"/>
          <w:sz w:val="26"/>
        </w:rPr>
        <w:t>1.3.1</w:t>
      </w:r>
      <w:r w:rsidRPr="00E2142C">
        <w:rPr>
          <w:rFonts w:ascii="標楷體" w:eastAsia="標楷體" w:hAnsi="標楷體" w:hint="eastAsia"/>
          <w:color w:val="000000" w:themeColor="text1"/>
          <w:kern w:val="0"/>
          <w:sz w:val="26"/>
        </w:rPr>
        <w:tab/>
        <w:t>第02336章--路基整理</w:t>
      </w:r>
    </w:p>
    <w:p w:rsidR="00E2142C" w:rsidRPr="00E2142C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sz w:val="26"/>
        </w:rPr>
      </w:pPr>
      <w:r w:rsidRPr="00E2142C">
        <w:rPr>
          <w:rFonts w:ascii="標楷體" w:eastAsia="標楷體" w:hAnsi="標楷體" w:hint="eastAsia"/>
          <w:color w:val="000000" w:themeColor="text1"/>
          <w:sz w:val="26"/>
        </w:rPr>
        <w:t>1.3.2</w:t>
      </w:r>
      <w:r w:rsidRPr="00E2142C">
        <w:rPr>
          <w:rFonts w:ascii="標楷體" w:eastAsia="標楷體" w:hAnsi="標楷體" w:hint="eastAsia"/>
          <w:color w:val="000000" w:themeColor="text1"/>
          <w:sz w:val="26"/>
        </w:rPr>
        <w:tab/>
        <w:t>第02722章--級配粒料基層</w:t>
      </w:r>
    </w:p>
    <w:p w:rsidR="00E2142C" w:rsidRPr="00E2142C" w:rsidRDefault="00E2142C" w:rsidP="000C52C8">
      <w:pPr>
        <w:spacing w:beforeLines="50" w:before="120" w:line="440" w:lineRule="exact"/>
        <w:ind w:left="953" w:hanging="953"/>
        <w:jc w:val="both"/>
        <w:outlineLvl w:val="1"/>
        <w:rPr>
          <w:rFonts w:ascii="標楷體" w:eastAsia="標楷體" w:hAnsi="標楷體"/>
          <w:b/>
          <w:kern w:val="0"/>
          <w:sz w:val="26"/>
        </w:rPr>
      </w:pPr>
      <w:r w:rsidRPr="00E2142C">
        <w:rPr>
          <w:rFonts w:ascii="標楷體" w:eastAsia="標楷體" w:hAnsi="標楷體" w:hint="eastAsia"/>
          <w:b/>
          <w:kern w:val="0"/>
          <w:sz w:val="26"/>
        </w:rPr>
        <w:t>1.4</w:t>
      </w:r>
      <w:r w:rsidRPr="00E2142C">
        <w:rPr>
          <w:rFonts w:ascii="標楷體" w:eastAsia="標楷體" w:hAnsi="標楷體" w:hint="eastAsia"/>
          <w:b/>
          <w:kern w:val="0"/>
          <w:sz w:val="26"/>
        </w:rPr>
        <w:tab/>
        <w:t>相關準則</w:t>
      </w:r>
    </w:p>
    <w:p w:rsidR="00E2142C" w:rsidRPr="00765456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142C">
        <w:rPr>
          <w:rFonts w:ascii="標楷體" w:eastAsia="標楷體" w:hAnsi="標楷體" w:hint="eastAsia"/>
          <w:kern w:val="0"/>
          <w:sz w:val="26"/>
        </w:rPr>
        <w:t>1.</w:t>
      </w:r>
      <w:r w:rsidRPr="00E2142C">
        <w:rPr>
          <w:rFonts w:ascii="標楷體" w:eastAsia="標楷體" w:hAnsi="標楷體"/>
          <w:kern w:val="0"/>
          <w:sz w:val="26"/>
        </w:rPr>
        <w:t>4.1</w:t>
      </w:r>
      <w:r w:rsidRPr="00E2142C">
        <w:rPr>
          <w:rFonts w:ascii="標楷體" w:eastAsia="標楷體" w:hAnsi="標楷體"/>
          <w:kern w:val="0"/>
          <w:sz w:val="26"/>
        </w:rPr>
        <w:tab/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>中華民國國家標準</w:t>
      </w:r>
      <w:r w:rsidRPr="00765456">
        <w:rPr>
          <w:rFonts w:ascii="標楷體" w:eastAsia="標楷體" w:hAnsi="標楷體"/>
          <w:color w:val="000000" w:themeColor="text1"/>
          <w:kern w:val="0"/>
          <w:sz w:val="26"/>
        </w:rPr>
        <w:t>(CNS)</w:t>
      </w:r>
    </w:p>
    <w:p w:rsidR="00E2142C" w:rsidRPr="00765456" w:rsidRDefault="00E2142C" w:rsidP="000C52C8">
      <w:pPr>
        <w:spacing w:line="440" w:lineRule="exact"/>
        <w:ind w:left="1475" w:hanging="522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>(1)</w:t>
      </w:r>
      <w:r w:rsidRPr="00765456">
        <w:rPr>
          <w:rFonts w:ascii="標楷體" w:eastAsia="標楷體" w:hAnsi="標楷體"/>
          <w:color w:val="000000" w:themeColor="text1"/>
          <w:kern w:val="0"/>
          <w:sz w:val="26"/>
        </w:rPr>
        <w:t xml:space="preserve"> CNS </w:t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 </w:t>
      </w:r>
      <w:r w:rsidRPr="00765456">
        <w:rPr>
          <w:rFonts w:ascii="標楷體" w:eastAsia="標楷體" w:hAnsi="標楷體"/>
          <w:color w:val="000000" w:themeColor="text1"/>
          <w:kern w:val="0"/>
          <w:sz w:val="26"/>
        </w:rPr>
        <w:t>4</w:t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>86    粗細粒料篩析法</w:t>
      </w:r>
    </w:p>
    <w:p w:rsidR="00E2142C" w:rsidRPr="00765456" w:rsidRDefault="00E2142C" w:rsidP="000C52C8">
      <w:pPr>
        <w:spacing w:line="440" w:lineRule="exact"/>
        <w:ind w:left="1475" w:hanging="522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>(2) CNS  488    粗粒料密度、相對密度(比重)及吸水率試驗法</w:t>
      </w:r>
    </w:p>
    <w:p w:rsidR="00E2142C" w:rsidRPr="00765456" w:rsidRDefault="00E2142C" w:rsidP="000C52C8">
      <w:pPr>
        <w:spacing w:line="440" w:lineRule="exact"/>
        <w:ind w:left="1475" w:hanging="522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>(3)</w:t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ab/>
      </w:r>
      <w:r w:rsidRPr="00765456">
        <w:rPr>
          <w:rFonts w:ascii="標楷體" w:eastAsia="標楷體" w:hAnsi="標楷體"/>
          <w:color w:val="000000" w:themeColor="text1"/>
          <w:kern w:val="0"/>
          <w:sz w:val="26"/>
        </w:rPr>
        <w:t xml:space="preserve">CNS </w:t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 </w:t>
      </w:r>
      <w:r w:rsidRPr="00765456">
        <w:rPr>
          <w:rFonts w:ascii="標楷體" w:eastAsia="標楷體" w:hAnsi="標楷體"/>
          <w:color w:val="000000" w:themeColor="text1"/>
          <w:kern w:val="0"/>
          <w:sz w:val="26"/>
        </w:rPr>
        <w:t>490</w:t>
      </w:r>
      <w:r w:rsidRPr="00765456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 粗粒料(37.5㎜以下)磨損試驗法驗法</w:t>
      </w:r>
    </w:p>
    <w:p w:rsidR="00E2142C" w:rsidRPr="00765456" w:rsidRDefault="00E2142C" w:rsidP="000C52C8">
      <w:pPr>
        <w:spacing w:line="440" w:lineRule="exact"/>
        <w:ind w:left="1475" w:hanging="522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>(4)</w:t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ab/>
        <w:t>CNS  5088</w:t>
      </w:r>
      <w:r w:rsidRPr="00765456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 土壤</w:t>
      </w:r>
      <w:r w:rsidRPr="00765456">
        <w:rPr>
          <w:rFonts w:ascii="標楷體" w:eastAsia="標楷體" w:hAnsi="標楷體"/>
          <w:color w:val="000000" w:themeColor="text1"/>
          <w:kern w:val="0"/>
          <w:sz w:val="26"/>
        </w:rPr>
        <w:t>液性限度試驗、</w:t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>塑性限度試驗</w:t>
      </w:r>
      <w:r w:rsidRPr="00765456">
        <w:rPr>
          <w:rFonts w:ascii="標楷體" w:eastAsia="標楷體" w:hAnsi="標楷體"/>
          <w:color w:val="000000" w:themeColor="text1"/>
          <w:kern w:val="0"/>
          <w:sz w:val="26"/>
        </w:rPr>
        <w:t>及</w:t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>塑性指數決定法</w:t>
      </w:r>
    </w:p>
    <w:p w:rsidR="00E2142C" w:rsidRPr="00765456" w:rsidRDefault="00E2142C" w:rsidP="000C52C8">
      <w:pPr>
        <w:spacing w:line="440" w:lineRule="exact"/>
        <w:ind w:left="1475" w:hanging="522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>(5)</w:t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ab/>
        <w:t>CNS  11777-1土壤含水量與密度關係試驗法(改良式夯實試驗法)</w:t>
      </w:r>
    </w:p>
    <w:p w:rsidR="00E2142C" w:rsidRPr="00765456" w:rsidRDefault="00E2142C" w:rsidP="000C52C8">
      <w:pPr>
        <w:spacing w:line="440" w:lineRule="exact"/>
        <w:ind w:left="1475" w:hanging="522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>(6) CNS  14732</w:t>
      </w:r>
      <w:r w:rsidRPr="00765456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 依粗料含量調整土壤夯實密度試驗法</w:t>
      </w:r>
    </w:p>
    <w:p w:rsidR="00E2142C" w:rsidRPr="00765456" w:rsidRDefault="00E2142C" w:rsidP="000C52C8">
      <w:pPr>
        <w:spacing w:line="440" w:lineRule="exact"/>
        <w:ind w:left="1475" w:hanging="522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>(7) CNS  14733</w:t>
      </w:r>
      <w:r w:rsidRPr="00765456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 以砂錐法測定土壤工地密度試驗法</w:t>
      </w:r>
    </w:p>
    <w:p w:rsidR="00E2142C" w:rsidRPr="00765456" w:rsidRDefault="00E2142C" w:rsidP="000C52C8">
      <w:pPr>
        <w:spacing w:line="440" w:lineRule="exact"/>
        <w:ind w:left="1475" w:hanging="522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765456">
        <w:rPr>
          <w:rFonts w:ascii="標楷體" w:eastAsia="標楷體" w:hAnsi="標楷體" w:hint="eastAsia"/>
          <w:color w:val="000000" w:themeColor="text1"/>
          <w:kern w:val="0"/>
          <w:sz w:val="26"/>
        </w:rPr>
        <w:t>(8) CNS  15312  粗粒料中破碎顆粒含量試驗法</w:t>
      </w:r>
    </w:p>
    <w:p w:rsidR="00E2142C" w:rsidRPr="00E2142C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kern w:val="0"/>
          <w:sz w:val="26"/>
        </w:rPr>
      </w:pPr>
      <w:r w:rsidRPr="00E2142C">
        <w:rPr>
          <w:rFonts w:ascii="標楷體" w:eastAsia="標楷體" w:hAnsi="標楷體" w:hint="eastAsia"/>
          <w:kern w:val="0"/>
          <w:sz w:val="26"/>
        </w:rPr>
        <w:t>1.4.2</w:t>
      </w:r>
      <w:r w:rsidRPr="00E2142C">
        <w:rPr>
          <w:rFonts w:ascii="標楷體" w:eastAsia="標楷體" w:hAnsi="標楷體" w:hint="eastAsia"/>
          <w:kern w:val="0"/>
          <w:sz w:val="26"/>
        </w:rPr>
        <w:tab/>
        <w:t>美國州公路及運輸協會</w:t>
      </w:r>
      <w:r w:rsidRPr="00E2142C">
        <w:rPr>
          <w:rFonts w:ascii="標楷體" w:eastAsia="標楷體" w:hAnsi="標楷體"/>
          <w:kern w:val="0"/>
          <w:sz w:val="26"/>
        </w:rPr>
        <w:t>(AASHTO)</w:t>
      </w:r>
    </w:p>
    <w:p w:rsidR="00E2142C" w:rsidRPr="00E2142C" w:rsidRDefault="00E2142C" w:rsidP="000C52C8">
      <w:pPr>
        <w:tabs>
          <w:tab w:val="left" w:pos="1452"/>
        </w:tabs>
        <w:spacing w:line="440" w:lineRule="exact"/>
        <w:ind w:left="3322" w:hanging="2369"/>
        <w:jc w:val="both"/>
        <w:outlineLvl w:val="3"/>
        <w:rPr>
          <w:rFonts w:ascii="標楷體" w:eastAsia="標楷體" w:hAnsi="標楷體"/>
          <w:kern w:val="0"/>
          <w:sz w:val="26"/>
        </w:rPr>
      </w:pPr>
      <w:r w:rsidRPr="00E2142C">
        <w:rPr>
          <w:rFonts w:ascii="標楷體" w:eastAsia="標楷體" w:hAnsi="標楷體"/>
          <w:kern w:val="0"/>
          <w:sz w:val="26"/>
        </w:rPr>
        <w:t>(1)</w:t>
      </w:r>
      <w:r w:rsidRPr="00E2142C">
        <w:rPr>
          <w:rFonts w:ascii="標楷體" w:eastAsia="標楷體" w:hAnsi="標楷體"/>
          <w:kern w:val="0"/>
          <w:sz w:val="26"/>
        </w:rPr>
        <w:tab/>
        <w:t>AASHTO</w:t>
      </w:r>
      <w:r w:rsidRPr="00E2142C">
        <w:rPr>
          <w:rFonts w:ascii="標楷體" w:eastAsia="標楷體" w:hAnsi="標楷體" w:hint="eastAsia"/>
          <w:kern w:val="0"/>
          <w:sz w:val="26"/>
        </w:rPr>
        <w:t xml:space="preserve"> </w:t>
      </w:r>
      <w:r w:rsidRPr="00E2142C">
        <w:rPr>
          <w:rFonts w:ascii="標楷體" w:eastAsia="標楷體" w:hAnsi="標楷體"/>
          <w:kern w:val="0"/>
          <w:sz w:val="26"/>
        </w:rPr>
        <w:t>T180</w:t>
      </w:r>
      <w:r w:rsidRPr="00E2142C">
        <w:rPr>
          <w:rFonts w:ascii="標楷體" w:eastAsia="標楷體" w:hAnsi="標楷體"/>
          <w:kern w:val="0"/>
          <w:sz w:val="26"/>
        </w:rPr>
        <w:tab/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 xml:space="preserve">Standard Method of Test for Moisture-Density Relations of Soils Using a 4.54-kg (10-lb) </w:t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lastRenderedPageBreak/>
        <w:t>Rammer and a 457-mm (18-in.) Drop</w:t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 </w:t>
      </w:r>
    </w:p>
    <w:p w:rsidR="00E2142C" w:rsidRPr="00E279B0" w:rsidRDefault="00E2142C" w:rsidP="00CA4199">
      <w:pPr>
        <w:tabs>
          <w:tab w:val="left" w:pos="1452"/>
        </w:tabs>
        <w:spacing w:line="440" w:lineRule="exact"/>
        <w:ind w:left="3322" w:hanging="2369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E2142C">
        <w:rPr>
          <w:rFonts w:ascii="標楷體" w:eastAsia="標楷體" w:hAnsi="標楷體" w:hint="eastAsia"/>
          <w:kern w:val="0"/>
          <w:sz w:val="26"/>
        </w:rPr>
        <w:t>(2)</w:t>
      </w:r>
      <w:r w:rsidRPr="00E2142C">
        <w:rPr>
          <w:rFonts w:ascii="標楷體" w:eastAsia="標楷體" w:hAnsi="標楷體" w:hint="eastAsia"/>
          <w:kern w:val="0"/>
          <w:sz w:val="26"/>
        </w:rPr>
        <w:tab/>
      </w:r>
      <w:r w:rsidRPr="00E2142C">
        <w:rPr>
          <w:rFonts w:ascii="標楷體" w:eastAsia="標楷體" w:hAnsi="標楷體"/>
          <w:kern w:val="0"/>
          <w:sz w:val="26"/>
        </w:rPr>
        <w:t>AASHTO</w:t>
      </w:r>
      <w:r w:rsidRPr="00E2142C">
        <w:rPr>
          <w:rFonts w:ascii="標楷體" w:eastAsia="標楷體" w:hAnsi="標楷體" w:hint="eastAsia"/>
          <w:kern w:val="0"/>
          <w:sz w:val="26"/>
        </w:rPr>
        <w:t xml:space="preserve"> </w:t>
      </w:r>
      <w:r w:rsidRPr="00E2142C">
        <w:rPr>
          <w:rFonts w:ascii="標楷體" w:eastAsia="標楷體" w:hAnsi="標楷體"/>
          <w:kern w:val="0"/>
          <w:sz w:val="26"/>
        </w:rPr>
        <w:t>T19</w:t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>1</w:t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ab/>
        <w:t>Standard Method of Test for Density of Soil In-Place by the Sand-Cone Method</w:t>
      </w:r>
    </w:p>
    <w:p w:rsidR="00E2142C" w:rsidRPr="00E279B0" w:rsidRDefault="00E2142C" w:rsidP="00CA4199">
      <w:pPr>
        <w:tabs>
          <w:tab w:val="left" w:pos="1452"/>
        </w:tabs>
        <w:spacing w:line="440" w:lineRule="exact"/>
        <w:ind w:left="3322" w:hanging="2369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(3) AASHTO T224  </w:t>
      </w:r>
      <w:r w:rsidR="00E279B0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 </w:t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>Standard Method of Test for Correction for Coarse Particles in the Soil Compaction Test</w:t>
      </w:r>
    </w:p>
    <w:p w:rsidR="00E2142C" w:rsidRPr="00E279B0" w:rsidRDefault="00E2142C" w:rsidP="00CA4199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1.4.3 美國材料試驗協會(ASTM)</w:t>
      </w:r>
    </w:p>
    <w:p w:rsidR="00E2142C" w:rsidRPr="00E279B0" w:rsidRDefault="00E2142C" w:rsidP="00CA4199">
      <w:pPr>
        <w:tabs>
          <w:tab w:val="left" w:pos="1452"/>
        </w:tabs>
        <w:spacing w:line="440" w:lineRule="exact"/>
        <w:ind w:left="3322" w:hanging="2369"/>
        <w:jc w:val="both"/>
        <w:outlineLvl w:val="3"/>
        <w:rPr>
          <w:rFonts w:ascii="標楷體" w:eastAsia="標楷體" w:hAnsi="標楷體" w:cs="Arial"/>
          <w:color w:val="000000" w:themeColor="text1"/>
          <w:spacing w:val="15"/>
          <w:sz w:val="18"/>
          <w:szCs w:val="18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(1) ASTM D4253     </w:t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>Standard</w:t>
      </w:r>
      <w:r w:rsidRPr="00E279B0">
        <w:rPr>
          <w:rFonts w:ascii="標楷體" w:eastAsia="標楷體" w:hAnsi="標楷體"/>
          <w:bCs/>
          <w:color w:val="000000" w:themeColor="text1"/>
          <w:kern w:val="0"/>
          <w:sz w:val="26"/>
        </w:rPr>
        <w:t xml:space="preserve"> Test Methods for Maximum Index Density and Unit Weight of Soils Using a Vibratory Table</w:t>
      </w:r>
    </w:p>
    <w:p w:rsidR="00E2142C" w:rsidRPr="00E279B0" w:rsidRDefault="00E2142C" w:rsidP="00CA4199">
      <w:pPr>
        <w:tabs>
          <w:tab w:val="left" w:pos="1452"/>
        </w:tabs>
        <w:spacing w:line="440" w:lineRule="exact"/>
        <w:ind w:left="3322" w:hanging="2369"/>
        <w:jc w:val="both"/>
        <w:outlineLvl w:val="3"/>
        <w:rPr>
          <w:rFonts w:ascii="標楷體" w:eastAsia="標楷體" w:hAnsi="標楷體"/>
          <w:bCs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bCs/>
          <w:color w:val="000000" w:themeColor="text1"/>
          <w:kern w:val="0"/>
          <w:sz w:val="26"/>
        </w:rPr>
        <w:t xml:space="preserve">(2) ASTM D4254     </w:t>
      </w:r>
      <w:r w:rsidRPr="00E279B0">
        <w:rPr>
          <w:rFonts w:ascii="標楷體" w:eastAsia="標楷體" w:hAnsi="標楷體"/>
          <w:bCs/>
          <w:color w:val="000000" w:themeColor="text1"/>
          <w:kern w:val="0"/>
          <w:sz w:val="26"/>
        </w:rPr>
        <w:t>Standard Test Methods for Minimum Index Density and Unit Weight of Soils and Calculation of Relative Density</w:t>
      </w:r>
    </w:p>
    <w:p w:rsidR="00E2142C" w:rsidRPr="00E279B0" w:rsidRDefault="00E2142C" w:rsidP="00CA4199">
      <w:pPr>
        <w:tabs>
          <w:tab w:val="left" w:pos="1452"/>
        </w:tabs>
        <w:spacing w:line="440" w:lineRule="exact"/>
        <w:ind w:left="3322" w:hanging="2369"/>
        <w:jc w:val="both"/>
        <w:outlineLvl w:val="3"/>
        <w:rPr>
          <w:rFonts w:ascii="標楷體" w:eastAsia="標楷體" w:hAnsi="標楷體"/>
          <w:bCs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bCs/>
          <w:color w:val="000000" w:themeColor="text1"/>
          <w:kern w:val="0"/>
          <w:sz w:val="26"/>
        </w:rPr>
        <w:t xml:space="preserve">(3) ASTM D1556   </w:t>
      </w:r>
      <w:r w:rsidR="00E279B0">
        <w:rPr>
          <w:rFonts w:ascii="標楷體" w:eastAsia="標楷體" w:hAnsi="標楷體" w:hint="eastAsia"/>
          <w:bCs/>
          <w:color w:val="000000" w:themeColor="text1"/>
          <w:kern w:val="0"/>
          <w:sz w:val="26"/>
        </w:rPr>
        <w:t xml:space="preserve"> </w:t>
      </w:r>
      <w:r w:rsidRPr="00E279B0">
        <w:rPr>
          <w:rFonts w:ascii="標楷體" w:eastAsia="標楷體" w:hAnsi="標楷體"/>
          <w:bCs/>
          <w:color w:val="000000" w:themeColor="text1"/>
          <w:kern w:val="0"/>
          <w:sz w:val="26"/>
        </w:rPr>
        <w:t>Standard Test Method for Density and Unit Weight of Soil in Place by Sand-Cone Method</w:t>
      </w:r>
    </w:p>
    <w:p w:rsidR="00E2142C" w:rsidRPr="000C52C8" w:rsidRDefault="00E2142C" w:rsidP="000C52C8">
      <w:pPr>
        <w:pStyle w:val="11"/>
        <w:spacing w:beforeLines="50" w:before="120" w:line="440" w:lineRule="exact"/>
        <w:rPr>
          <w:rFonts w:hAnsi="標楷體"/>
          <w:color w:val="000000" w:themeColor="text1"/>
          <w:kern w:val="0"/>
        </w:rPr>
      </w:pPr>
      <w:r w:rsidRPr="000C52C8">
        <w:rPr>
          <w:rFonts w:hAnsi="標楷體" w:hint="eastAsia"/>
          <w:color w:val="000000" w:themeColor="text1"/>
          <w:kern w:val="0"/>
        </w:rPr>
        <w:t>1.4.4  目的事業主管機關再利用規定</w:t>
      </w:r>
    </w:p>
    <w:p w:rsidR="00E2142C" w:rsidRPr="00E279B0" w:rsidRDefault="00E2142C" w:rsidP="000C52C8">
      <w:pPr>
        <w:spacing w:line="440" w:lineRule="exact"/>
        <w:ind w:left="1475" w:hanging="522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(1)</w:t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內政部營建事業廢棄物再利用種類及管理方式</w:t>
      </w:r>
    </w:p>
    <w:p w:rsidR="00E2142C" w:rsidRPr="00E279B0" w:rsidRDefault="00E2142C" w:rsidP="000C52C8">
      <w:pPr>
        <w:spacing w:line="440" w:lineRule="exact"/>
        <w:ind w:left="1475" w:hanging="522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(2)</w:t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經濟部事業廢棄物再利用管理辦法</w:t>
      </w:r>
    </w:p>
    <w:p w:rsidR="00E2142C" w:rsidRPr="00E279B0" w:rsidRDefault="00E2142C" w:rsidP="000C52C8">
      <w:pPr>
        <w:spacing w:line="440" w:lineRule="exact"/>
        <w:ind w:left="1475" w:hanging="522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(3)</w:t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經濟部再生利用之再生資源項目及規範</w:t>
      </w:r>
    </w:p>
    <w:p w:rsidR="00E2142C" w:rsidRPr="00E279B0" w:rsidRDefault="00E2142C" w:rsidP="000C52C8">
      <w:pPr>
        <w:spacing w:beforeLines="50" w:before="120" w:line="440" w:lineRule="exact"/>
        <w:ind w:left="953" w:hanging="953"/>
        <w:jc w:val="both"/>
        <w:outlineLvl w:val="1"/>
        <w:rPr>
          <w:rFonts w:ascii="標楷體" w:eastAsia="標楷體" w:hAnsi="標楷體"/>
          <w:b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1.5    資料送審</w:t>
      </w:r>
    </w:p>
    <w:p w:rsidR="00E2142C" w:rsidRPr="00E279B0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>1</w:t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.5.1  </w:t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>使用</w:t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天然、碎石或</w:t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>再生</w:t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等級配</w:t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>粒料</w:t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進料前，應先提送符合本章2.2.1級配及品質規定文件資料，報監造單位審查核可後，始可進料。</w:t>
      </w:r>
    </w:p>
    <w:p w:rsidR="00E2142C" w:rsidRPr="009C65B4" w:rsidRDefault="00E2142C" w:rsidP="000C52C8">
      <w:pPr>
        <w:spacing w:beforeLines="100" w:before="240" w:line="440" w:lineRule="exact"/>
        <w:ind w:left="624" w:hanging="624"/>
        <w:jc w:val="both"/>
        <w:outlineLvl w:val="0"/>
        <w:rPr>
          <w:rFonts w:ascii="標楷體" w:eastAsia="標楷體" w:hAnsi="標楷體"/>
          <w:b/>
          <w:kern w:val="52"/>
          <w:sz w:val="32"/>
        </w:rPr>
      </w:pPr>
      <w:r w:rsidRPr="009C65B4">
        <w:rPr>
          <w:rFonts w:ascii="標楷體" w:eastAsia="標楷體" w:hAnsi="標楷體"/>
          <w:b/>
          <w:kern w:val="52"/>
          <w:sz w:val="32"/>
        </w:rPr>
        <w:t>2.</w:t>
      </w:r>
      <w:r w:rsidRPr="009C65B4">
        <w:rPr>
          <w:rFonts w:ascii="標楷體" w:eastAsia="標楷體" w:hAnsi="標楷體"/>
          <w:b/>
          <w:kern w:val="52"/>
          <w:sz w:val="32"/>
        </w:rPr>
        <w:tab/>
      </w:r>
      <w:r w:rsidRPr="009C65B4">
        <w:rPr>
          <w:rFonts w:ascii="標楷體" w:eastAsia="標楷體" w:hAnsi="標楷體" w:hint="eastAsia"/>
          <w:b/>
          <w:kern w:val="52"/>
          <w:sz w:val="32"/>
        </w:rPr>
        <w:t xml:space="preserve">  產品</w:t>
      </w:r>
    </w:p>
    <w:p w:rsidR="00E2142C" w:rsidRPr="00E2142C" w:rsidRDefault="00E2142C" w:rsidP="000C52C8">
      <w:pPr>
        <w:spacing w:beforeLines="50" w:before="120" w:line="440" w:lineRule="exact"/>
        <w:ind w:left="953" w:hanging="953"/>
        <w:jc w:val="both"/>
        <w:outlineLvl w:val="1"/>
        <w:rPr>
          <w:rFonts w:ascii="標楷體" w:eastAsia="標楷體" w:hAnsi="標楷體"/>
          <w:b/>
          <w:kern w:val="0"/>
          <w:sz w:val="26"/>
        </w:rPr>
      </w:pPr>
      <w:r w:rsidRPr="00E2142C">
        <w:rPr>
          <w:rFonts w:ascii="標楷體" w:eastAsia="標楷體" w:hAnsi="標楷體"/>
          <w:b/>
          <w:kern w:val="0"/>
          <w:sz w:val="26"/>
        </w:rPr>
        <w:t>2.1</w:t>
      </w:r>
      <w:r w:rsidRPr="00E2142C">
        <w:rPr>
          <w:rFonts w:ascii="標楷體" w:eastAsia="標楷體" w:hAnsi="標楷體" w:hint="eastAsia"/>
          <w:b/>
          <w:kern w:val="0"/>
          <w:sz w:val="26"/>
        </w:rPr>
        <w:t xml:space="preserve">    材料</w:t>
      </w:r>
    </w:p>
    <w:p w:rsidR="00E2142C" w:rsidRPr="00E279B0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2.1.1  天然級配粒料係指天然岩石或礫石經篩選製成之級配粒料。</w:t>
      </w:r>
    </w:p>
    <w:p w:rsidR="00E2142C" w:rsidRPr="00E279B0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2.1.2  碎石級配粒料係指天然岩石或礫石經碎解製成之級配粒料。</w:t>
      </w:r>
    </w:p>
    <w:p w:rsidR="00E2142C" w:rsidRPr="00E279B0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sz w:val="26"/>
        </w:rPr>
        <w:t>2.1.</w:t>
      </w:r>
      <w:r w:rsidRPr="00E279B0">
        <w:rPr>
          <w:rFonts w:ascii="標楷體" w:eastAsia="標楷體" w:hAnsi="標楷體" w:hint="eastAsia"/>
          <w:color w:val="000000" w:themeColor="text1"/>
          <w:sz w:val="26"/>
          <w:szCs w:val="26"/>
        </w:rPr>
        <w:t>3</w:t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ab/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再生級配粒料係指石材廢料、營建剩餘土石、廢棄混凝土、廢瀝青混凝土、廢磚瓦或廢陶瓷等軋製而成之級配粒料，其品質應符合「內政部營建事業廢棄物再利用種類及管理方式」、「經濟部事業廢棄物再利用管理辦法」要求，其再利用用途為「道路工程粒料」，並經目的事業主管機關同意使用者。</w:t>
      </w:r>
    </w:p>
    <w:p w:rsidR="00E2142C" w:rsidRPr="00E279B0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sz w:val="26"/>
        </w:rPr>
        <w:t>2.1.4</w:t>
      </w:r>
      <w:r w:rsidRPr="00E279B0">
        <w:rPr>
          <w:rFonts w:ascii="標楷體" w:eastAsia="標楷體" w:hAnsi="標楷體" w:hint="eastAsia"/>
          <w:color w:val="000000" w:themeColor="text1"/>
          <w:sz w:val="26"/>
        </w:rPr>
        <w:tab/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天然、碎石或再生等級配粒料中所含雜質，總含量不得大於2％(重量百</w:t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lastRenderedPageBreak/>
        <w:t>分比)。</w:t>
      </w:r>
    </w:p>
    <w:p w:rsidR="00E2142C" w:rsidRPr="00E279B0" w:rsidRDefault="00E2142C" w:rsidP="000C52C8">
      <w:pPr>
        <w:spacing w:line="440" w:lineRule="exact"/>
        <w:ind w:left="953" w:hanging="953"/>
        <w:outlineLvl w:val="2"/>
        <w:rPr>
          <w:rFonts w:ascii="標楷體" w:eastAsia="標楷體" w:hAnsi="標楷體"/>
          <w:b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/>
          <w:b/>
          <w:color w:val="000000" w:themeColor="text1"/>
          <w:kern w:val="0"/>
          <w:sz w:val="26"/>
        </w:rPr>
        <w:t>2.</w:t>
      </w:r>
      <w:r w:rsidRPr="00E279B0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2</w:t>
      </w:r>
      <w:r w:rsidRPr="00E279B0">
        <w:rPr>
          <w:rFonts w:ascii="標楷體" w:eastAsia="標楷體" w:hAnsi="標楷體"/>
          <w:b/>
          <w:color w:val="000000" w:themeColor="text1"/>
          <w:kern w:val="0"/>
          <w:sz w:val="26"/>
        </w:rPr>
        <w:tab/>
      </w:r>
      <w:r w:rsidRPr="00E279B0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級配及品質</w:t>
      </w:r>
    </w:p>
    <w:p w:rsidR="00E2142C" w:rsidRPr="00E279B0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2.2.1  所用商購天然、碎石或再生等級配粒料者，除契約圖說另有規定外，其級配及品質需符合下列規定：</w:t>
      </w:r>
    </w:p>
    <w:p w:rsidR="00E2142C" w:rsidRPr="00E279B0" w:rsidRDefault="00E2142C" w:rsidP="000C52C8">
      <w:pPr>
        <w:spacing w:beforeLines="50" w:before="120" w:line="440" w:lineRule="exact"/>
        <w:ind w:left="1293" w:hanging="369"/>
        <w:jc w:val="both"/>
        <w:outlineLvl w:val="4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(1)級配</w:t>
      </w:r>
    </w:p>
    <w:p w:rsidR="00E2142C" w:rsidRPr="00E279B0" w:rsidRDefault="00E2142C" w:rsidP="009C65B4">
      <w:pPr>
        <w:spacing w:line="440" w:lineRule="exact"/>
        <w:ind w:left="1781" w:hanging="369"/>
        <w:jc w:val="center"/>
        <w:outlineLvl w:val="4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表一</w:t>
      </w:r>
      <w:r w:rsidRPr="00E279B0">
        <w:rPr>
          <w:rFonts w:ascii="標楷體" w:eastAsia="標楷體" w:hAnsi="標楷體"/>
          <w:color w:val="000000" w:themeColor="text1"/>
          <w:kern w:val="0"/>
          <w:sz w:val="26"/>
        </w:rPr>
        <w:t xml:space="preserve">  </w:t>
      </w: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級配規定</w:t>
      </w:r>
    </w:p>
    <w:tbl>
      <w:tblPr>
        <w:tblW w:w="0" w:type="auto"/>
        <w:tblInd w:w="13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3"/>
        <w:gridCol w:w="2694"/>
        <w:gridCol w:w="2409"/>
      </w:tblGrid>
      <w:tr w:rsidR="00E279B0" w:rsidRPr="00E279B0" w:rsidTr="00E279B0">
        <w:trPr>
          <w:cantSplit/>
          <w:trHeight w:val="383"/>
        </w:trPr>
        <w:tc>
          <w:tcPr>
            <w:tcW w:w="2653" w:type="dxa"/>
            <w:tcBorders>
              <w:top w:val="single" w:sz="12" w:space="0" w:color="auto"/>
              <w:lef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試驗篩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通過方孔試驗篩之重量百分率(%)</w:t>
            </w:r>
          </w:p>
        </w:tc>
      </w:tr>
      <w:tr w:rsidR="00E279B0" w:rsidRPr="00E279B0" w:rsidTr="007205A5">
        <w:tc>
          <w:tcPr>
            <w:tcW w:w="2653" w:type="dxa"/>
            <w:tcBorders>
              <w:left w:val="single" w:sz="12" w:space="0" w:color="auto"/>
              <w:bottom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</w:rPr>
              <w:t>mm</w:t>
            </w:r>
          </w:p>
        </w:tc>
        <w:tc>
          <w:tcPr>
            <w:tcW w:w="2694" w:type="dxa"/>
            <w:tcBorders>
              <w:bottom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/>
                <w:b/>
                <w:color w:val="000000" w:themeColor="text1"/>
                <w:kern w:val="0"/>
              </w:rPr>
              <w:t>A</w:t>
            </w:r>
            <w:r w:rsidRPr="00E279B0">
              <w:rPr>
                <w:rFonts w:ascii="標楷體" w:eastAsia="標楷體" w:hAnsi="標楷體" w:hint="eastAsia"/>
                <w:b/>
                <w:color w:val="000000" w:themeColor="text1"/>
                <w:kern w:val="0"/>
              </w:rPr>
              <w:t>型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/>
                <w:b/>
                <w:color w:val="000000" w:themeColor="text1"/>
                <w:kern w:val="0"/>
              </w:rPr>
              <w:t>B</w:t>
            </w:r>
            <w:r w:rsidRPr="00E279B0">
              <w:rPr>
                <w:rFonts w:ascii="標楷體" w:eastAsia="標楷體" w:hAnsi="標楷體" w:hint="eastAsia"/>
                <w:b/>
                <w:color w:val="000000" w:themeColor="text1"/>
                <w:kern w:val="0"/>
              </w:rPr>
              <w:t>型</w:t>
            </w:r>
          </w:p>
        </w:tc>
      </w:tr>
      <w:tr w:rsidR="00E279B0" w:rsidRPr="00E279B0" w:rsidTr="007205A5">
        <w:trPr>
          <w:trHeight w:val="278"/>
        </w:trPr>
        <w:tc>
          <w:tcPr>
            <w:tcW w:w="2653" w:type="dxa"/>
            <w:tcBorders>
              <w:top w:val="single" w:sz="12" w:space="0" w:color="auto"/>
              <w:lef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ind w:firstLine="233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</w:rPr>
              <w:t>50.0(2")</w:t>
            </w:r>
          </w:p>
        </w:tc>
        <w:tc>
          <w:tcPr>
            <w:tcW w:w="2694" w:type="dxa"/>
            <w:tcBorders>
              <w:top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100</w:t>
            </w:r>
          </w:p>
        </w:tc>
        <w:tc>
          <w:tcPr>
            <w:tcW w:w="2409" w:type="dxa"/>
            <w:tcBorders>
              <w:top w:val="single" w:sz="12" w:space="0" w:color="auto"/>
              <w:righ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100</w:t>
            </w:r>
          </w:p>
        </w:tc>
      </w:tr>
      <w:tr w:rsidR="00E279B0" w:rsidRPr="00E279B0" w:rsidTr="007205A5">
        <w:tc>
          <w:tcPr>
            <w:tcW w:w="2653" w:type="dxa"/>
            <w:tcBorders>
              <w:lef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ind w:firstLine="233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37.5(1.5</w:t>
            </w: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"</w:t>
            </w: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)</w:t>
            </w:r>
          </w:p>
        </w:tc>
        <w:tc>
          <w:tcPr>
            <w:tcW w:w="2694" w:type="dxa"/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75～90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90～</w:t>
            </w: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100</w:t>
            </w:r>
          </w:p>
        </w:tc>
      </w:tr>
      <w:tr w:rsidR="00E279B0" w:rsidRPr="00E279B0" w:rsidTr="007205A5">
        <w:tc>
          <w:tcPr>
            <w:tcW w:w="2653" w:type="dxa"/>
            <w:tcBorders>
              <w:lef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ind w:firstLine="233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25.0(1")</w:t>
            </w:r>
          </w:p>
        </w:tc>
        <w:tc>
          <w:tcPr>
            <w:tcW w:w="2694" w:type="dxa"/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55～70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75～90</w:t>
            </w:r>
          </w:p>
        </w:tc>
      </w:tr>
      <w:tr w:rsidR="00E279B0" w:rsidRPr="00E279B0" w:rsidTr="007205A5">
        <w:tc>
          <w:tcPr>
            <w:tcW w:w="2653" w:type="dxa"/>
            <w:tcBorders>
              <w:left w:val="single" w:sz="12" w:space="0" w:color="auto"/>
              <w:bottom w:val="single" w:sz="6" w:space="0" w:color="auto"/>
            </w:tcBorders>
          </w:tcPr>
          <w:p w:rsidR="00E2142C" w:rsidRPr="00E279B0" w:rsidRDefault="00E2142C" w:rsidP="007205A5">
            <w:pPr>
              <w:spacing w:line="300" w:lineRule="exact"/>
              <w:ind w:firstLine="233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19.0(3/4</w:t>
            </w: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"</w:t>
            </w: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)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45～60</w:t>
            </w:r>
          </w:p>
        </w:tc>
        <w:tc>
          <w:tcPr>
            <w:tcW w:w="2409" w:type="dxa"/>
            <w:tcBorders>
              <w:bottom w:val="single" w:sz="6" w:space="0" w:color="auto"/>
              <w:righ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7</w:t>
            </w: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0～8</w:t>
            </w: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5</w:t>
            </w:r>
          </w:p>
        </w:tc>
      </w:tr>
      <w:tr w:rsidR="00E279B0" w:rsidRPr="00E279B0" w:rsidTr="007205A5">
        <w:tc>
          <w:tcPr>
            <w:tcW w:w="2653" w:type="dxa"/>
            <w:tcBorders>
              <w:left w:val="single" w:sz="12" w:space="0" w:color="auto"/>
              <w:bottom w:val="single" w:sz="6" w:space="0" w:color="auto"/>
            </w:tcBorders>
          </w:tcPr>
          <w:p w:rsidR="00E2142C" w:rsidRPr="00E279B0" w:rsidRDefault="00E2142C" w:rsidP="007205A5">
            <w:pPr>
              <w:spacing w:line="300" w:lineRule="exact"/>
              <w:ind w:firstLine="233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9.5(3/8")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30</w:t>
            </w: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～45</w:t>
            </w:r>
          </w:p>
        </w:tc>
        <w:tc>
          <w:tcPr>
            <w:tcW w:w="2409" w:type="dxa"/>
            <w:tcBorders>
              <w:bottom w:val="single" w:sz="6" w:space="0" w:color="auto"/>
              <w:righ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50～65</w:t>
            </w:r>
          </w:p>
        </w:tc>
      </w:tr>
      <w:tr w:rsidR="00E279B0" w:rsidRPr="00E279B0" w:rsidTr="007205A5">
        <w:tc>
          <w:tcPr>
            <w:tcW w:w="2653" w:type="dxa"/>
            <w:tcBorders>
              <w:left w:val="single" w:sz="12" w:space="0" w:color="auto"/>
              <w:bottom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ind w:firstLine="233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4.75(No.4)</w:t>
            </w:r>
          </w:p>
        </w:tc>
        <w:tc>
          <w:tcPr>
            <w:tcW w:w="2694" w:type="dxa"/>
            <w:tcBorders>
              <w:bottom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25</w:t>
            </w: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～3</w:t>
            </w: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5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40</w:t>
            </w: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～</w:t>
            </w: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5</w:t>
            </w: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5</w:t>
            </w:r>
          </w:p>
        </w:tc>
      </w:tr>
      <w:tr w:rsidR="00E279B0" w:rsidRPr="00E279B0" w:rsidTr="007205A5">
        <w:tc>
          <w:tcPr>
            <w:tcW w:w="2653" w:type="dxa"/>
            <w:tcBorders>
              <w:lef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ind w:firstLine="233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</w:rPr>
              <w:t>0.425(No.40)</w:t>
            </w:r>
          </w:p>
        </w:tc>
        <w:tc>
          <w:tcPr>
            <w:tcW w:w="2694" w:type="dxa"/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8</w:t>
            </w: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～</w:t>
            </w: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20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15</w:t>
            </w: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～</w:t>
            </w: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30</w:t>
            </w:r>
          </w:p>
        </w:tc>
      </w:tr>
      <w:tr w:rsidR="00E279B0" w:rsidRPr="00E279B0" w:rsidTr="007205A5">
        <w:tc>
          <w:tcPr>
            <w:tcW w:w="2653" w:type="dxa"/>
            <w:tcBorders>
              <w:left w:val="single" w:sz="12" w:space="0" w:color="auto"/>
              <w:bottom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ind w:firstLine="233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0.075(No.200)</w:t>
            </w:r>
          </w:p>
        </w:tc>
        <w:tc>
          <w:tcPr>
            <w:tcW w:w="2694" w:type="dxa"/>
            <w:tcBorders>
              <w:bottom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2</w:t>
            </w: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～</w:t>
            </w: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8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outlineLvl w:val="4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10～</w:t>
            </w:r>
            <w:r w:rsidRPr="00E279B0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20</w:t>
            </w:r>
          </w:p>
        </w:tc>
      </w:tr>
    </w:tbl>
    <w:p w:rsidR="00E2142C" w:rsidRPr="00E279B0" w:rsidRDefault="00E2142C" w:rsidP="00E2142C">
      <w:pPr>
        <w:spacing w:beforeLines="50" w:before="120" w:line="440" w:lineRule="exact"/>
        <w:ind w:left="1292" w:hanging="369"/>
        <w:jc w:val="both"/>
        <w:outlineLvl w:val="4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(2)品質</w:t>
      </w:r>
    </w:p>
    <w:p w:rsidR="00E2142C" w:rsidRPr="00E279B0" w:rsidRDefault="00E279B0" w:rsidP="009C65B4">
      <w:pPr>
        <w:spacing w:line="440" w:lineRule="exact"/>
        <w:ind w:left="1372" w:firstLine="2347"/>
        <w:jc w:val="both"/>
        <w:textAlignment w:val="center"/>
        <w:rPr>
          <w:rFonts w:ascii="標楷體" w:eastAsia="標楷體" w:hAnsi="標楷體"/>
          <w:color w:val="000000" w:themeColor="text1"/>
          <w:kern w:val="0"/>
          <w:sz w:val="26"/>
        </w:rPr>
      </w:pPr>
      <w:r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    </w:t>
      </w:r>
      <w:r w:rsidR="009C65B4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 </w:t>
      </w:r>
      <w:r w:rsidR="00E2142C"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表二</w:t>
      </w:r>
      <w:r w:rsidR="00E2142C" w:rsidRPr="00E279B0">
        <w:rPr>
          <w:rFonts w:ascii="標楷體" w:eastAsia="標楷體" w:hAnsi="標楷體"/>
          <w:color w:val="000000" w:themeColor="text1"/>
          <w:kern w:val="0"/>
          <w:sz w:val="26"/>
        </w:rPr>
        <w:t xml:space="preserve">  </w:t>
      </w:r>
      <w:r w:rsidR="00E2142C"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品質規定</w:t>
      </w:r>
    </w:p>
    <w:tbl>
      <w:tblPr>
        <w:tblStyle w:val="ab"/>
        <w:tblW w:w="0" w:type="auto"/>
        <w:tblInd w:w="14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477"/>
        <w:gridCol w:w="2694"/>
        <w:gridCol w:w="938"/>
      </w:tblGrid>
      <w:tr w:rsidR="00E279B0" w:rsidRPr="00E279B0" w:rsidTr="00E279B0">
        <w:trPr>
          <w:trHeight w:val="415"/>
        </w:trPr>
        <w:tc>
          <w:tcPr>
            <w:tcW w:w="2646" w:type="dxa"/>
            <w:tcBorders>
              <w:top w:val="single" w:sz="12" w:space="0" w:color="auto"/>
              <w:bottom w:val="single" w:sz="6" w:space="0" w:color="auto"/>
            </w:tcBorders>
          </w:tcPr>
          <w:p w:rsidR="00E2142C" w:rsidRPr="00E279B0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材料項目</w:t>
            </w:r>
          </w:p>
        </w:tc>
        <w:tc>
          <w:tcPr>
            <w:tcW w:w="1477" w:type="dxa"/>
            <w:tcBorders>
              <w:top w:val="single" w:sz="12" w:space="0" w:color="auto"/>
              <w:bottom w:val="single" w:sz="12" w:space="0" w:color="auto"/>
            </w:tcBorders>
          </w:tcPr>
          <w:p w:rsidR="00E2142C" w:rsidRPr="00E279B0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試驗方法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</w:tcPr>
          <w:p w:rsidR="00E2142C" w:rsidRPr="00E279B0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試驗項目及規定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6" w:space="0" w:color="auto"/>
            </w:tcBorders>
          </w:tcPr>
          <w:p w:rsidR="00E2142C" w:rsidRPr="00E279B0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備註</w:t>
            </w:r>
          </w:p>
        </w:tc>
      </w:tr>
      <w:tr w:rsidR="00E279B0" w:rsidRPr="00E279B0" w:rsidTr="00694D50">
        <w:trPr>
          <w:trHeight w:val="578"/>
        </w:trPr>
        <w:tc>
          <w:tcPr>
            <w:tcW w:w="2646" w:type="dxa"/>
            <w:vMerge w:val="restart"/>
            <w:tcBorders>
              <w:top w:val="single" w:sz="12" w:space="0" w:color="auto"/>
            </w:tcBorders>
            <w:vAlign w:val="center"/>
          </w:tcPr>
          <w:p w:rsidR="00E2142C" w:rsidRPr="00E279B0" w:rsidRDefault="00E2142C" w:rsidP="007205A5">
            <w:pPr>
              <w:spacing w:line="4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天然(含就地取料)、碎石等級配粒料</w:t>
            </w:r>
          </w:p>
        </w:tc>
        <w:tc>
          <w:tcPr>
            <w:tcW w:w="1477" w:type="dxa"/>
            <w:tcBorders>
              <w:top w:val="single" w:sz="12" w:space="0" w:color="auto"/>
            </w:tcBorders>
            <w:vAlign w:val="center"/>
          </w:tcPr>
          <w:p w:rsidR="00E2142C" w:rsidRPr="00E279B0" w:rsidRDefault="00E2142C" w:rsidP="007205A5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CNS  490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E2142C" w:rsidRPr="00E279B0" w:rsidRDefault="00E2142C" w:rsidP="007205A5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洛杉磯磨損率＜</w:t>
            </w:r>
            <w:r w:rsidRPr="00E279B0">
              <w:rPr>
                <w:rFonts w:ascii="標楷體" w:eastAsia="標楷體" w:hAnsi="標楷體"/>
                <w:color w:val="000000" w:themeColor="text1"/>
                <w:kern w:val="0"/>
              </w:rPr>
              <w:t>50</w:t>
            </w: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 xml:space="preserve"> %</w:t>
            </w:r>
          </w:p>
        </w:tc>
        <w:tc>
          <w:tcPr>
            <w:tcW w:w="938" w:type="dxa"/>
            <w:vMerge w:val="restart"/>
            <w:tcBorders>
              <w:top w:val="single" w:sz="12" w:space="0" w:color="auto"/>
            </w:tcBorders>
            <w:vAlign w:val="center"/>
          </w:tcPr>
          <w:p w:rsidR="00E2142C" w:rsidRPr="00E279B0" w:rsidRDefault="00E2142C" w:rsidP="007205A5">
            <w:pPr>
              <w:spacing w:line="30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</w:tr>
      <w:tr w:rsidR="00E279B0" w:rsidRPr="00E279B0" w:rsidTr="00694D50">
        <w:trPr>
          <w:trHeight w:val="491"/>
        </w:trPr>
        <w:tc>
          <w:tcPr>
            <w:tcW w:w="2646" w:type="dxa"/>
            <w:vMerge/>
            <w:tcBorders>
              <w:bottom w:val="single" w:sz="6" w:space="0" w:color="auto"/>
            </w:tcBorders>
            <w:vAlign w:val="center"/>
          </w:tcPr>
          <w:p w:rsidR="00E2142C" w:rsidRPr="00E279B0" w:rsidRDefault="00E2142C" w:rsidP="007205A5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vAlign w:val="center"/>
          </w:tcPr>
          <w:p w:rsidR="00E2142C" w:rsidRPr="00E279B0" w:rsidRDefault="00E2142C" w:rsidP="007205A5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</w:rPr>
              <w:t>CNS 488</w:t>
            </w:r>
          </w:p>
        </w:tc>
        <w:tc>
          <w:tcPr>
            <w:tcW w:w="2694" w:type="dxa"/>
            <w:vAlign w:val="center"/>
          </w:tcPr>
          <w:p w:rsidR="00E2142C" w:rsidRPr="00E279B0" w:rsidRDefault="00E2142C" w:rsidP="007205A5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比重＞2.5</w:t>
            </w:r>
          </w:p>
        </w:tc>
        <w:tc>
          <w:tcPr>
            <w:tcW w:w="938" w:type="dxa"/>
            <w:vMerge/>
          </w:tcPr>
          <w:p w:rsidR="00E2142C" w:rsidRPr="00E279B0" w:rsidRDefault="00E2142C" w:rsidP="007205A5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</w:tr>
      <w:tr w:rsidR="00E279B0" w:rsidRPr="00E279B0" w:rsidTr="00694D50">
        <w:trPr>
          <w:trHeight w:val="610"/>
        </w:trPr>
        <w:tc>
          <w:tcPr>
            <w:tcW w:w="2646" w:type="dxa"/>
            <w:vMerge w:val="restart"/>
            <w:tcBorders>
              <w:top w:val="single" w:sz="6" w:space="0" w:color="auto"/>
            </w:tcBorders>
            <w:vAlign w:val="center"/>
          </w:tcPr>
          <w:p w:rsidR="00E2142C" w:rsidRPr="00E279B0" w:rsidRDefault="00E2142C" w:rsidP="007205A5">
            <w:pPr>
              <w:spacing w:line="4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再生級配粒料</w:t>
            </w:r>
          </w:p>
        </w:tc>
        <w:tc>
          <w:tcPr>
            <w:tcW w:w="1477" w:type="dxa"/>
            <w:tcBorders>
              <w:top w:val="single" w:sz="6" w:space="0" w:color="auto"/>
            </w:tcBorders>
            <w:vAlign w:val="center"/>
          </w:tcPr>
          <w:p w:rsidR="00E2142C" w:rsidRPr="00E279B0" w:rsidRDefault="00E2142C" w:rsidP="007205A5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CNS  490</w:t>
            </w:r>
          </w:p>
        </w:tc>
        <w:tc>
          <w:tcPr>
            <w:tcW w:w="2694" w:type="dxa"/>
            <w:vAlign w:val="center"/>
          </w:tcPr>
          <w:p w:rsidR="00E2142C" w:rsidRPr="00E279B0" w:rsidRDefault="00E2142C" w:rsidP="007205A5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洛杉磯磨損率＜</w:t>
            </w:r>
            <w:r w:rsidRPr="00E279B0">
              <w:rPr>
                <w:rFonts w:ascii="標楷體" w:eastAsia="標楷體" w:hAnsi="標楷體"/>
                <w:color w:val="000000" w:themeColor="text1"/>
                <w:kern w:val="0"/>
              </w:rPr>
              <w:t>50</w:t>
            </w: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 xml:space="preserve"> %</w:t>
            </w:r>
          </w:p>
        </w:tc>
        <w:tc>
          <w:tcPr>
            <w:tcW w:w="938" w:type="dxa"/>
            <w:vMerge/>
          </w:tcPr>
          <w:p w:rsidR="00E2142C" w:rsidRPr="00E279B0" w:rsidRDefault="00E2142C" w:rsidP="007205A5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</w:tr>
      <w:tr w:rsidR="00E279B0" w:rsidRPr="00E279B0" w:rsidTr="00694D50">
        <w:trPr>
          <w:trHeight w:val="548"/>
        </w:trPr>
        <w:tc>
          <w:tcPr>
            <w:tcW w:w="2646" w:type="dxa"/>
            <w:vMerge/>
            <w:tcBorders>
              <w:bottom w:val="single" w:sz="12" w:space="0" w:color="auto"/>
            </w:tcBorders>
            <w:vAlign w:val="center"/>
          </w:tcPr>
          <w:p w:rsidR="00E2142C" w:rsidRPr="00E279B0" w:rsidRDefault="00E2142C" w:rsidP="007205A5">
            <w:pPr>
              <w:spacing w:line="30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1477" w:type="dxa"/>
            <w:tcBorders>
              <w:bottom w:val="single" w:sz="12" w:space="0" w:color="auto"/>
            </w:tcBorders>
            <w:vAlign w:val="center"/>
          </w:tcPr>
          <w:p w:rsidR="00E2142C" w:rsidRPr="00E279B0" w:rsidRDefault="00E2142C" w:rsidP="007205A5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/>
                <w:color w:val="000000" w:themeColor="text1"/>
                <w:kern w:val="0"/>
              </w:rPr>
              <w:t>CNS 488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E2142C" w:rsidRPr="00E279B0" w:rsidRDefault="00E2142C" w:rsidP="007205A5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279B0">
              <w:rPr>
                <w:rFonts w:ascii="標楷體" w:eastAsia="標楷體" w:hAnsi="標楷體" w:hint="eastAsia"/>
                <w:color w:val="000000" w:themeColor="text1"/>
                <w:kern w:val="0"/>
              </w:rPr>
              <w:t>比重＞2.2</w:t>
            </w:r>
          </w:p>
        </w:tc>
        <w:tc>
          <w:tcPr>
            <w:tcW w:w="938" w:type="dxa"/>
            <w:vMerge/>
            <w:tcBorders>
              <w:bottom w:val="single" w:sz="12" w:space="0" w:color="auto"/>
            </w:tcBorders>
          </w:tcPr>
          <w:p w:rsidR="00E2142C" w:rsidRPr="00E279B0" w:rsidRDefault="00E2142C" w:rsidP="007205A5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</w:tr>
    </w:tbl>
    <w:p w:rsidR="00E2142C" w:rsidRPr="00E279B0" w:rsidRDefault="00E2142C" w:rsidP="000C52C8">
      <w:pPr>
        <w:spacing w:beforeLines="50" w:before="120"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E279B0">
        <w:rPr>
          <w:rFonts w:ascii="標楷體" w:eastAsia="標楷體" w:hAnsi="標楷體" w:hint="eastAsia"/>
          <w:color w:val="000000" w:themeColor="text1"/>
          <w:kern w:val="0"/>
          <w:sz w:val="26"/>
        </w:rPr>
        <w:t>2.2.2  所用就地取料者依設計圖說規定辦理，粒料品質需符合前款表二品質規定。</w:t>
      </w:r>
    </w:p>
    <w:p w:rsidR="00E2142C" w:rsidRPr="009C65B4" w:rsidRDefault="00E2142C" w:rsidP="000C52C8">
      <w:pPr>
        <w:spacing w:beforeLines="100" w:before="240" w:line="440" w:lineRule="exact"/>
        <w:ind w:left="624" w:hanging="624"/>
        <w:jc w:val="both"/>
        <w:outlineLvl w:val="0"/>
        <w:rPr>
          <w:rFonts w:ascii="標楷體" w:eastAsia="標楷體" w:hAnsi="標楷體"/>
          <w:b/>
          <w:kern w:val="52"/>
          <w:sz w:val="32"/>
        </w:rPr>
      </w:pPr>
      <w:r w:rsidRPr="009C65B4">
        <w:rPr>
          <w:rFonts w:ascii="標楷體" w:eastAsia="標楷體" w:hAnsi="標楷體"/>
          <w:b/>
          <w:kern w:val="52"/>
          <w:sz w:val="32"/>
        </w:rPr>
        <w:t>3.</w:t>
      </w:r>
      <w:r w:rsidRPr="009C65B4">
        <w:rPr>
          <w:rFonts w:ascii="標楷體" w:eastAsia="標楷體" w:hAnsi="標楷體"/>
          <w:b/>
          <w:kern w:val="52"/>
          <w:sz w:val="32"/>
        </w:rPr>
        <w:tab/>
      </w:r>
      <w:r w:rsidRPr="009C65B4">
        <w:rPr>
          <w:rFonts w:ascii="標楷體" w:eastAsia="標楷體" w:hAnsi="標楷體" w:hint="eastAsia"/>
          <w:b/>
          <w:kern w:val="52"/>
          <w:sz w:val="32"/>
        </w:rPr>
        <w:t xml:space="preserve">  施工</w:t>
      </w:r>
    </w:p>
    <w:p w:rsidR="00E2142C" w:rsidRPr="009C65B4" w:rsidRDefault="00E2142C" w:rsidP="000C52C8">
      <w:pPr>
        <w:spacing w:beforeLines="50" w:before="120" w:line="440" w:lineRule="exact"/>
        <w:ind w:left="953" w:hanging="953"/>
        <w:jc w:val="both"/>
        <w:outlineLvl w:val="1"/>
        <w:rPr>
          <w:rFonts w:ascii="標楷體" w:eastAsia="標楷體" w:hAnsi="標楷體"/>
          <w:b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3.1</w:t>
      </w:r>
      <w:r w:rsidRPr="009C65B4">
        <w:rPr>
          <w:rFonts w:ascii="標楷體" w:eastAsia="標楷體" w:hAnsi="標楷體"/>
          <w:b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準備工作</w:t>
      </w:r>
    </w:p>
    <w:p w:rsidR="00E2142C" w:rsidRPr="009C65B4" w:rsidRDefault="00E2142C" w:rsidP="000C52C8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3.1.1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路基或基層整理</w:t>
      </w:r>
    </w:p>
    <w:p w:rsidR="00E2142C" w:rsidRDefault="00E2142C" w:rsidP="000C52C8">
      <w:pPr>
        <w:spacing w:line="440" w:lineRule="exact"/>
        <w:ind w:left="952" w:firstLine="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路基應依設計圖說坡度、斷面等規定維持良好狀況，如有坑洞、車槽鬆散或凹凸不平等情形，必須予以翻修整理，至符合設計規定為止。</w:t>
      </w:r>
    </w:p>
    <w:p w:rsidR="000C52C8" w:rsidRDefault="000C52C8" w:rsidP="000C52C8">
      <w:pPr>
        <w:spacing w:line="440" w:lineRule="exact"/>
        <w:ind w:left="952" w:firstLine="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</w:p>
    <w:p w:rsidR="00E2142C" w:rsidRPr="009C65B4" w:rsidRDefault="00E2142C" w:rsidP="000C52C8">
      <w:pPr>
        <w:spacing w:beforeLines="50" w:before="120" w:line="440" w:lineRule="exact"/>
        <w:ind w:left="953" w:hanging="953"/>
        <w:jc w:val="both"/>
        <w:outlineLvl w:val="1"/>
        <w:rPr>
          <w:rFonts w:ascii="標楷體" w:eastAsia="標楷體" w:hAnsi="標楷體"/>
          <w:b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b/>
          <w:color w:val="000000" w:themeColor="text1"/>
          <w:kern w:val="0"/>
          <w:sz w:val="26"/>
        </w:rPr>
        <w:t>3.</w:t>
      </w:r>
      <w:r w:rsidRPr="009C65B4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2</w:t>
      </w:r>
      <w:r w:rsidRPr="009C65B4">
        <w:rPr>
          <w:rFonts w:ascii="標楷體" w:eastAsia="標楷體" w:hAnsi="標楷體"/>
          <w:b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施工方法</w:t>
      </w:r>
    </w:p>
    <w:p w:rsidR="00E2142C" w:rsidRPr="009C65B4" w:rsidRDefault="00E2142C" w:rsidP="00E2142C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3.2.1</w:t>
      </w:r>
      <w:r w:rsidRPr="009C65B4">
        <w:rPr>
          <w:rFonts w:ascii="標楷體" w:eastAsia="標楷體" w:hAnsi="標楷體"/>
          <w:b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散鋪材料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(1)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運達工地之合格材料，攤平於已整理完成之路基或基層面上或分堆堆置於路基或基層上，然後以機動平路機或適當機具攤平。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(2)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在散鋪前，如監造工程司認為必要，應按其指示在路基或基層上灑水，以得到適宜濕度。</w:t>
      </w:r>
    </w:p>
    <w:p w:rsidR="00E2142C" w:rsidRPr="009C65B4" w:rsidRDefault="00E2142C" w:rsidP="000C52C8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(3)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散鋪時，如發現粒料有不均勻或析離現象時，應按監造工程司之指示，以機動平路機或適當機具拌和至前述現象消除為止。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(4)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級配粒料應按設計圖說所示或監造工程司指示之厚度分層均勻鋪設，每層厚度約略相等。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(5)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鋪設時，應避免損及其下面路基、基層或已鋪設之前一層，並按所需全寬度鋪設。</w:t>
      </w:r>
    </w:p>
    <w:p w:rsidR="00E2142C" w:rsidRPr="009C65B4" w:rsidRDefault="00E2142C" w:rsidP="00E2142C">
      <w:pPr>
        <w:spacing w:line="36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(6)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每層壓實度視滾壓機具之能量而異，除另有規定或</w:t>
      </w:r>
      <w:r w:rsidR="007D7D5F">
        <w:rPr>
          <w:rFonts w:ascii="標楷體" w:eastAsia="標楷體" w:hAnsi="標楷體" w:hint="eastAsia"/>
          <w:color w:val="000000" w:themeColor="text1"/>
          <w:kern w:val="0"/>
          <w:sz w:val="26"/>
        </w:rPr>
        <w:t>監造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工程司核准外，每層最大壓實厚度不得超過30㎝。</w:t>
      </w:r>
    </w:p>
    <w:p w:rsidR="00E2142C" w:rsidRPr="009C65B4" w:rsidRDefault="00E2142C" w:rsidP="00E2142C">
      <w:pPr>
        <w:spacing w:line="440" w:lineRule="exact"/>
        <w:ind w:left="953" w:hanging="953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3.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2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.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2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滾壓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(1)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級配粒料散鋪及整形完成後，以三輪壓路機或震動壓路機滾壓。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(2)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滾壓時，如有需要應以噴霧式灑水車酌量灑水，使級配粒料含有適當之含水量，俾能壓實至所規定之密度。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(3)如級配粒料含水量過多時，應俟其乾至適當程度後，始可滾壓。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4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滾壓時應由路邊開始，如使用三輪壓路機時，除另有規定者外，開始時須將外後輪之一半壓在路肩上滾壓堅實，然後逐漸內移，滾壓方向應與路中心線平行，每次重疊後輪之一半，直至全部滾壓堅實，達到所規定之壓實度時為止。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5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在曲線超高處，滾壓應由低側開始，逐漸移向高側。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6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壓路機不能到達之處，應以夯土機或其他適當之機具夯實。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(7)滾壓後如有不平之處，應耙鬆後補充不足之材料，或移除多餘部分，然後滾壓平整。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8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最後一層滾壓完成後，應以機動平路機或其他適當之機具刮平，或以人工修平，隨即再予滾壓。</w:t>
      </w:r>
    </w:p>
    <w:p w:rsidR="00E2142C" w:rsidRPr="009C65B4" w:rsidRDefault="00E2142C" w:rsidP="000C52C8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(9)刮平及滾壓工作應相繼進行，得視實際需要酌量灑水，直至所有表面均已平整堅實，並符合設計圖說所示之斷面為止。</w:t>
      </w:r>
    </w:p>
    <w:p w:rsidR="00E2142C" w:rsidRPr="009C65B4" w:rsidRDefault="00E2142C" w:rsidP="00E2142C">
      <w:pPr>
        <w:spacing w:beforeLines="50" w:before="120" w:line="440" w:lineRule="exact"/>
        <w:ind w:left="953" w:hanging="953"/>
        <w:outlineLvl w:val="1"/>
        <w:rPr>
          <w:rFonts w:ascii="標楷體" w:eastAsia="標楷體" w:hAnsi="標楷體"/>
          <w:b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3.3</w:t>
      </w:r>
      <w:r w:rsidRPr="009C65B4">
        <w:rPr>
          <w:rFonts w:ascii="標楷體" w:eastAsia="標楷體" w:hAnsi="標楷體"/>
          <w:b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檢驗</w:t>
      </w:r>
    </w:p>
    <w:p w:rsidR="00E2142C" w:rsidRPr="009C65B4" w:rsidRDefault="00E2142C" w:rsidP="00E2142C">
      <w:pPr>
        <w:spacing w:line="440" w:lineRule="exact"/>
        <w:ind w:left="953" w:hanging="953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3.3.1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級配粒料篩分析及品質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(1)檢驗方法、頻率及標準，如下表：</w:t>
      </w:r>
    </w:p>
    <w:tbl>
      <w:tblPr>
        <w:tblStyle w:val="ab"/>
        <w:tblW w:w="0" w:type="auto"/>
        <w:tblInd w:w="10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2409"/>
        <w:gridCol w:w="2420"/>
      </w:tblGrid>
      <w:tr w:rsidR="009C65B4" w:rsidRPr="009C65B4" w:rsidTr="000C52C8">
        <w:trPr>
          <w:trHeight w:val="415"/>
        </w:trPr>
        <w:tc>
          <w:tcPr>
            <w:tcW w:w="1985" w:type="dxa"/>
            <w:gridSpan w:val="2"/>
          </w:tcPr>
          <w:p w:rsidR="00E2142C" w:rsidRPr="009C65B4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檢驗項目</w:t>
            </w:r>
          </w:p>
        </w:tc>
        <w:tc>
          <w:tcPr>
            <w:tcW w:w="1276" w:type="dxa"/>
          </w:tcPr>
          <w:p w:rsidR="00E2142C" w:rsidRPr="009C65B4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檢驗方法</w:t>
            </w:r>
          </w:p>
        </w:tc>
        <w:tc>
          <w:tcPr>
            <w:tcW w:w="2409" w:type="dxa"/>
          </w:tcPr>
          <w:p w:rsidR="00E2142C" w:rsidRPr="009C65B4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檢驗頻率</w:t>
            </w:r>
          </w:p>
        </w:tc>
        <w:tc>
          <w:tcPr>
            <w:tcW w:w="2420" w:type="dxa"/>
          </w:tcPr>
          <w:p w:rsidR="00E2142C" w:rsidRPr="009C65B4" w:rsidRDefault="00E2142C" w:rsidP="00FD19FD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檢驗標準</w:t>
            </w:r>
          </w:p>
        </w:tc>
      </w:tr>
      <w:tr w:rsidR="009C65B4" w:rsidRPr="009C65B4" w:rsidTr="00FD19FD">
        <w:trPr>
          <w:trHeight w:val="726"/>
        </w:trPr>
        <w:tc>
          <w:tcPr>
            <w:tcW w:w="1985" w:type="dxa"/>
            <w:gridSpan w:val="2"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級配粒料篩分析</w:t>
            </w:r>
          </w:p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(不含就地取料)</w:t>
            </w:r>
          </w:p>
        </w:tc>
        <w:tc>
          <w:tcPr>
            <w:tcW w:w="1276" w:type="dxa"/>
            <w:vAlign w:val="center"/>
          </w:tcPr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CNS 486</w:t>
            </w:r>
          </w:p>
        </w:tc>
        <w:tc>
          <w:tcPr>
            <w:tcW w:w="2409" w:type="dxa"/>
            <w:vMerge w:val="restart"/>
            <w:vAlign w:val="center"/>
          </w:tcPr>
          <w:p w:rsidR="00E2142C" w:rsidRPr="009C65B4" w:rsidRDefault="00E2142C" w:rsidP="00FD19FD">
            <w:pPr>
              <w:pStyle w:val="ac"/>
              <w:numPr>
                <w:ilvl w:val="0"/>
                <w:numId w:val="2"/>
              </w:numPr>
              <w:spacing w:line="320" w:lineRule="exact"/>
              <w:ind w:leftChars="0"/>
              <w:textAlignment w:val="center"/>
              <w:rPr>
                <w:rFonts w:ascii="標楷體" w:hAnsi="標楷體"/>
                <w:color w:val="000000" w:themeColor="text1"/>
                <w:kern w:val="0"/>
                <w:sz w:val="24"/>
              </w:rPr>
            </w:pPr>
            <w:r w:rsidRPr="009C65B4">
              <w:rPr>
                <w:rFonts w:ascii="標楷體" w:hAnsi="標楷體" w:hint="eastAsia"/>
                <w:color w:val="000000" w:themeColor="text1"/>
                <w:kern w:val="0"/>
                <w:sz w:val="24"/>
              </w:rPr>
              <w:t>每一工程或每一料源至少1次。</w:t>
            </w:r>
          </w:p>
          <w:p w:rsidR="00E2142C" w:rsidRPr="009C65B4" w:rsidRDefault="00E2142C" w:rsidP="00FD19FD">
            <w:pPr>
              <w:pStyle w:val="ac"/>
              <w:numPr>
                <w:ilvl w:val="0"/>
                <w:numId w:val="2"/>
              </w:numPr>
              <w:spacing w:line="320" w:lineRule="exact"/>
              <w:ind w:leftChars="0" w:left="357" w:hanging="357"/>
              <w:textAlignment w:val="center"/>
              <w:rPr>
                <w:rFonts w:ascii="標楷體" w:hAnsi="標楷體"/>
                <w:color w:val="000000" w:themeColor="text1"/>
                <w:kern w:val="0"/>
                <w:sz w:val="24"/>
              </w:rPr>
            </w:pPr>
            <w:r w:rsidRPr="009C65B4">
              <w:rPr>
                <w:rFonts w:ascii="標楷體" w:hAnsi="標楷體" w:hint="eastAsia"/>
                <w:color w:val="000000" w:themeColor="text1"/>
                <w:kern w:val="0"/>
                <w:sz w:val="24"/>
              </w:rPr>
              <w:t>進料數量每1,000m</w:t>
            </w:r>
            <w:r w:rsidRPr="009C65B4">
              <w:rPr>
                <w:rFonts w:ascii="標楷體" w:hAnsi="標楷體" w:hint="eastAsia"/>
                <w:color w:val="000000" w:themeColor="text1"/>
                <w:kern w:val="0"/>
                <w:sz w:val="24"/>
                <w:vertAlign w:val="superscript"/>
              </w:rPr>
              <w:t>2</w:t>
            </w:r>
            <w:r w:rsidRPr="009C65B4">
              <w:rPr>
                <w:rFonts w:ascii="標楷體" w:hAnsi="標楷體" w:hint="eastAsia"/>
                <w:color w:val="000000" w:themeColor="text1"/>
                <w:kern w:val="0"/>
                <w:sz w:val="24"/>
              </w:rPr>
              <w:t>為一批檢驗1次，餘數500m</w:t>
            </w:r>
            <w:r w:rsidRPr="009C65B4">
              <w:rPr>
                <w:rFonts w:ascii="標楷體" w:hAnsi="標楷體" w:hint="eastAsia"/>
                <w:color w:val="000000" w:themeColor="text1"/>
                <w:kern w:val="0"/>
                <w:sz w:val="24"/>
                <w:vertAlign w:val="superscript"/>
              </w:rPr>
              <w:t>2</w:t>
            </w:r>
            <w:r w:rsidRPr="009C65B4">
              <w:rPr>
                <w:rFonts w:ascii="標楷體" w:hAnsi="標楷體" w:hint="eastAsia"/>
                <w:color w:val="000000" w:themeColor="text1"/>
                <w:kern w:val="0"/>
                <w:sz w:val="24"/>
              </w:rPr>
              <w:t>以下得併前一批檢驗；超過500m</w:t>
            </w:r>
            <w:r w:rsidRPr="009C65B4">
              <w:rPr>
                <w:rFonts w:ascii="標楷體" w:hAnsi="標楷體" w:hint="eastAsia"/>
                <w:color w:val="000000" w:themeColor="text1"/>
                <w:kern w:val="0"/>
                <w:sz w:val="24"/>
                <w:vertAlign w:val="superscript"/>
              </w:rPr>
              <w:t>2</w:t>
            </w:r>
            <w:r w:rsidRPr="009C65B4">
              <w:rPr>
                <w:rFonts w:ascii="標楷體" w:hAnsi="標楷體" w:hint="eastAsia"/>
                <w:color w:val="000000" w:themeColor="text1"/>
                <w:kern w:val="0"/>
                <w:sz w:val="24"/>
              </w:rPr>
              <w:t>單獨為一批檢驗。</w:t>
            </w:r>
          </w:p>
        </w:tc>
        <w:tc>
          <w:tcPr>
            <w:tcW w:w="2420" w:type="dxa"/>
            <w:vAlign w:val="center"/>
          </w:tcPr>
          <w:p w:rsidR="00E2142C" w:rsidRPr="009C65B4" w:rsidRDefault="00E2142C" w:rsidP="00FD19FD">
            <w:pPr>
              <w:spacing w:line="32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應符合本章2.2.1(1)級配規定</w:t>
            </w:r>
          </w:p>
        </w:tc>
      </w:tr>
      <w:tr w:rsidR="009C65B4" w:rsidRPr="009C65B4" w:rsidTr="00FD19FD">
        <w:trPr>
          <w:trHeight w:val="542"/>
        </w:trPr>
        <w:tc>
          <w:tcPr>
            <w:tcW w:w="567" w:type="dxa"/>
            <w:vMerge w:val="restart"/>
            <w:textDirection w:val="tbRlV"/>
            <w:vAlign w:val="center"/>
          </w:tcPr>
          <w:p w:rsidR="00E2142C" w:rsidRPr="009C65B4" w:rsidRDefault="00E2142C" w:rsidP="00FD19FD">
            <w:pPr>
              <w:spacing w:line="320" w:lineRule="exact"/>
              <w:ind w:left="113" w:right="113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級配粒料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品質</w:t>
            </w:r>
          </w:p>
        </w:tc>
        <w:tc>
          <w:tcPr>
            <w:tcW w:w="1418" w:type="dxa"/>
            <w:vMerge w:val="restart"/>
            <w:vAlign w:val="center"/>
          </w:tcPr>
          <w:p w:rsidR="00E2142C" w:rsidRPr="000C52C8" w:rsidRDefault="00E2142C" w:rsidP="00FD19FD">
            <w:pPr>
              <w:spacing w:line="320" w:lineRule="exact"/>
              <w:ind w:leftChars="-10" w:left="-24" w:rightChars="-25" w:right="-60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spacing w:val="-8"/>
                <w:kern w:val="0"/>
              </w:rPr>
            </w:pPr>
            <w:r w:rsidRPr="000C52C8">
              <w:rPr>
                <w:rFonts w:ascii="標楷體" w:eastAsia="標楷體" w:hAnsi="標楷體" w:hint="eastAsia"/>
                <w:color w:val="000000" w:themeColor="text1"/>
                <w:spacing w:val="-8"/>
                <w:kern w:val="0"/>
              </w:rPr>
              <w:t>天然(含就地取料)、碎石等級配粒料</w:t>
            </w:r>
          </w:p>
        </w:tc>
        <w:tc>
          <w:tcPr>
            <w:tcW w:w="1276" w:type="dxa"/>
            <w:vMerge w:val="restart"/>
            <w:vAlign w:val="center"/>
          </w:tcPr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CNS 490</w:t>
            </w:r>
          </w:p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/>
                <w:color w:val="000000" w:themeColor="text1"/>
                <w:kern w:val="0"/>
              </w:rPr>
              <w:t>CNS 488</w:t>
            </w:r>
          </w:p>
        </w:tc>
        <w:tc>
          <w:tcPr>
            <w:tcW w:w="2409" w:type="dxa"/>
            <w:vMerge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  <w:highlight w:val="yellow"/>
              </w:rPr>
            </w:pPr>
          </w:p>
        </w:tc>
        <w:tc>
          <w:tcPr>
            <w:tcW w:w="2420" w:type="dxa"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洛杉磯磨損率＜</w:t>
            </w:r>
            <w:r w:rsidRPr="009C65B4">
              <w:rPr>
                <w:rFonts w:ascii="標楷體" w:eastAsia="標楷體" w:hAnsi="標楷體"/>
                <w:color w:val="000000" w:themeColor="text1"/>
                <w:kern w:val="0"/>
              </w:rPr>
              <w:t>50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 xml:space="preserve"> %</w:t>
            </w:r>
          </w:p>
        </w:tc>
      </w:tr>
      <w:tr w:rsidR="009C65B4" w:rsidRPr="009C65B4" w:rsidTr="000C52C8">
        <w:trPr>
          <w:trHeight w:val="438"/>
        </w:trPr>
        <w:tc>
          <w:tcPr>
            <w:tcW w:w="567" w:type="dxa"/>
            <w:vMerge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1418" w:type="dxa"/>
            <w:vMerge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1276" w:type="dxa"/>
            <w:vMerge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2409" w:type="dxa"/>
            <w:vMerge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  <w:highlight w:val="yellow"/>
              </w:rPr>
            </w:pPr>
          </w:p>
        </w:tc>
        <w:tc>
          <w:tcPr>
            <w:tcW w:w="2420" w:type="dxa"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比重＞2.5</w:t>
            </w:r>
          </w:p>
        </w:tc>
      </w:tr>
      <w:tr w:rsidR="009C65B4" w:rsidRPr="009C65B4" w:rsidTr="00FD19FD">
        <w:trPr>
          <w:trHeight w:val="487"/>
        </w:trPr>
        <w:tc>
          <w:tcPr>
            <w:tcW w:w="567" w:type="dxa"/>
            <w:vMerge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0C52C8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再生</w:t>
            </w:r>
          </w:p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級配粒料</w:t>
            </w:r>
          </w:p>
        </w:tc>
        <w:tc>
          <w:tcPr>
            <w:tcW w:w="1276" w:type="dxa"/>
            <w:vMerge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2409" w:type="dxa"/>
            <w:vMerge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2420" w:type="dxa"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洛杉磯磨損率＜</w:t>
            </w:r>
            <w:r w:rsidRPr="009C65B4">
              <w:rPr>
                <w:rFonts w:ascii="標楷體" w:eastAsia="標楷體" w:hAnsi="標楷體"/>
                <w:color w:val="000000" w:themeColor="text1"/>
                <w:kern w:val="0"/>
              </w:rPr>
              <w:t>50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 xml:space="preserve"> %</w:t>
            </w:r>
          </w:p>
        </w:tc>
      </w:tr>
      <w:tr w:rsidR="009C65B4" w:rsidRPr="009C65B4" w:rsidTr="00FD19FD">
        <w:trPr>
          <w:trHeight w:val="451"/>
        </w:trPr>
        <w:tc>
          <w:tcPr>
            <w:tcW w:w="567" w:type="dxa"/>
            <w:vMerge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1418" w:type="dxa"/>
            <w:vMerge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1276" w:type="dxa"/>
            <w:vMerge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2409" w:type="dxa"/>
            <w:vMerge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2420" w:type="dxa"/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比重＞2.2</w:t>
            </w:r>
          </w:p>
        </w:tc>
      </w:tr>
    </w:tbl>
    <w:p w:rsidR="00E2142C" w:rsidRPr="009C65B4" w:rsidRDefault="00E2142C" w:rsidP="00FD19FD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(2)檢驗結果未符合規定，如已鋪設材料應予刨除並運離工地。</w:t>
      </w:r>
    </w:p>
    <w:p w:rsidR="00E2142C" w:rsidRPr="009C65B4" w:rsidRDefault="00E2142C" w:rsidP="00FD19FD">
      <w:pPr>
        <w:spacing w:beforeLines="50" w:before="120" w:line="440" w:lineRule="exact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3.3.</w:t>
      </w:r>
      <w:r w:rsidR="00D441B5">
        <w:rPr>
          <w:rFonts w:ascii="標楷體" w:eastAsia="標楷體" w:hAnsi="標楷體" w:hint="eastAsia"/>
          <w:color w:val="000000" w:themeColor="text1"/>
          <w:kern w:val="0"/>
          <w:sz w:val="26"/>
        </w:rPr>
        <w:t>2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  壓實度及相對密度</w:t>
      </w:r>
    </w:p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(1)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檢驗方法、頻率及標準，如下表：</w:t>
      </w:r>
    </w:p>
    <w:tbl>
      <w:tblPr>
        <w:tblStyle w:val="ab"/>
        <w:tblW w:w="8098" w:type="dxa"/>
        <w:tblInd w:w="10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286"/>
        <w:gridCol w:w="1691"/>
        <w:gridCol w:w="3055"/>
        <w:gridCol w:w="12"/>
        <w:gridCol w:w="1346"/>
      </w:tblGrid>
      <w:tr w:rsidR="009C65B4" w:rsidRPr="009C65B4" w:rsidTr="000C52C8">
        <w:trPr>
          <w:trHeight w:val="415"/>
        </w:trPr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42C" w:rsidRPr="009C65B4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材料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42C" w:rsidRPr="009C65B4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檢驗項目</w:t>
            </w:r>
          </w:p>
        </w:tc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42C" w:rsidRPr="009C65B4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檢驗方法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42C" w:rsidRPr="009C65B4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檢驗頻率</w:t>
            </w:r>
          </w:p>
        </w:tc>
        <w:tc>
          <w:tcPr>
            <w:tcW w:w="13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2142C" w:rsidRPr="009C65B4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檢驗標準</w:t>
            </w:r>
          </w:p>
        </w:tc>
      </w:tr>
      <w:tr w:rsidR="009C65B4" w:rsidRPr="009C65B4" w:rsidTr="00FD19FD">
        <w:trPr>
          <w:cantSplit/>
          <w:trHeight w:val="2067"/>
        </w:trPr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:rsidR="00E2142C" w:rsidRPr="009C65B4" w:rsidRDefault="00E2142C" w:rsidP="00FD19FD">
            <w:pPr>
              <w:spacing w:line="320" w:lineRule="exact"/>
              <w:ind w:left="113" w:right="113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Ａ型級配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相對密度試驗</w:t>
            </w:r>
          </w:p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(含工地密度)</w:t>
            </w:r>
          </w:p>
        </w:tc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ASTM D4253</w:t>
            </w:r>
          </w:p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ASTM D4254</w:t>
            </w:r>
          </w:p>
          <w:p w:rsidR="00E2142C" w:rsidRPr="009C65B4" w:rsidRDefault="00AF10B0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 xml:space="preserve">ASTM D1556 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42C" w:rsidRPr="009C65B4" w:rsidRDefault="00E2142C" w:rsidP="00FD19FD">
            <w:pPr>
              <w:spacing w:line="320" w:lineRule="exact"/>
              <w:ind w:left="223" w:hangingChars="93" w:hanging="223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1.每工程至少1次。</w:t>
            </w:r>
          </w:p>
          <w:p w:rsidR="00E2142C" w:rsidRPr="009C65B4" w:rsidRDefault="00E2142C" w:rsidP="00FD19FD">
            <w:pPr>
              <w:spacing w:line="320" w:lineRule="exact"/>
              <w:ind w:left="223" w:hangingChars="93" w:hanging="223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2.每層滾壓完成後，每層數量以</w:t>
            </w:r>
            <w:r w:rsidRPr="009C65B4">
              <w:rPr>
                <w:rFonts w:ascii="標楷體" w:eastAsia="標楷體" w:hAnsi="標楷體"/>
                <w:color w:val="000000" w:themeColor="text1"/>
                <w:kern w:val="0"/>
              </w:rPr>
              <w:t>1,000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m</w:t>
            </w:r>
            <w:r w:rsidRPr="009C65B4">
              <w:rPr>
                <w:rFonts w:ascii="標楷體" w:eastAsia="標楷體" w:hAnsi="標楷體"/>
                <w:color w:val="000000" w:themeColor="text1"/>
                <w:kern w:val="0"/>
                <w:vertAlign w:val="superscript"/>
              </w:rPr>
              <w:t>2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為一批檢驗1次，餘數500m</w:t>
            </w:r>
            <w:r w:rsidRPr="009C65B4">
              <w:rPr>
                <w:rFonts w:ascii="標楷體" w:eastAsia="標楷體" w:hAnsi="標楷體"/>
                <w:color w:val="000000" w:themeColor="text1"/>
                <w:kern w:val="0"/>
                <w:vertAlign w:val="superscript"/>
              </w:rPr>
              <w:t>2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以下得併前一批檢驗；超過500m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vertAlign w:val="superscript"/>
              </w:rPr>
              <w:t>2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單獨為一批檢驗。</w:t>
            </w:r>
          </w:p>
        </w:tc>
        <w:tc>
          <w:tcPr>
            <w:tcW w:w="13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43152" w:rsidRDefault="00E2142C" w:rsidP="00E61EB7">
            <w:pPr>
              <w:spacing w:line="32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相對密度：</w:t>
            </w:r>
          </w:p>
          <w:p w:rsidR="00E2142C" w:rsidRPr="009C65B4" w:rsidRDefault="00E2142C" w:rsidP="00043152">
            <w:pPr>
              <w:spacing w:line="32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 xml:space="preserve"> 80</w:t>
            </w:r>
            <w:r w:rsidR="00043152"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%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以上</w:t>
            </w:r>
            <w:r w:rsidR="00043152">
              <w:rPr>
                <w:rFonts w:ascii="標楷體" w:eastAsia="標楷體" w:hAnsi="標楷體" w:hint="eastAsia"/>
                <w:color w:val="000000" w:themeColor="text1"/>
                <w:kern w:val="0"/>
              </w:rPr>
              <w:t>。</w:t>
            </w:r>
          </w:p>
        </w:tc>
      </w:tr>
      <w:tr w:rsidR="009C65B4" w:rsidRPr="009C65B4" w:rsidTr="00FD19FD">
        <w:trPr>
          <w:cantSplit/>
          <w:trHeight w:val="2060"/>
        </w:trPr>
        <w:tc>
          <w:tcPr>
            <w:tcW w:w="708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:rsidR="00E2142C" w:rsidRPr="009C65B4" w:rsidRDefault="00E2142C" w:rsidP="00FD19FD">
            <w:pPr>
              <w:spacing w:line="320" w:lineRule="exact"/>
              <w:ind w:left="113" w:right="113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Ｂ型級配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普羅克達夯實試驗</w:t>
            </w:r>
          </w:p>
        </w:tc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CNS 11777-1</w:t>
            </w:r>
          </w:p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AASHTO T180</w:t>
            </w:r>
          </w:p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(求取最大乾密度，再與工地密度試驗求得壓實度值)</w:t>
            </w:r>
          </w:p>
        </w:tc>
        <w:tc>
          <w:tcPr>
            <w:tcW w:w="30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每一料源至少1次(得視現場料源變化增做試驗次數)</w:t>
            </w:r>
          </w:p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13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2142C" w:rsidRPr="009C65B4" w:rsidRDefault="00E2142C" w:rsidP="00FD19FD">
            <w:pPr>
              <w:spacing w:line="32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壓實度：</w:t>
            </w:r>
          </w:p>
          <w:p w:rsidR="00E2142C" w:rsidRPr="009C65B4" w:rsidRDefault="00E2142C" w:rsidP="00E61EB7">
            <w:pPr>
              <w:spacing w:line="320" w:lineRule="exact"/>
              <w:ind w:left="254" w:hangingChars="106" w:hanging="254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1.道路95</w:t>
            </w:r>
            <w:r w:rsidR="00043152"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%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以上</w:t>
            </w:r>
            <w:r w:rsidR="00043152">
              <w:rPr>
                <w:rFonts w:ascii="標楷體" w:eastAsia="標楷體" w:hAnsi="標楷體" w:hint="eastAsia"/>
                <w:color w:val="000000" w:themeColor="text1"/>
                <w:kern w:val="0"/>
              </w:rPr>
              <w:t>。</w:t>
            </w:r>
          </w:p>
          <w:p w:rsidR="00E2142C" w:rsidRPr="009C65B4" w:rsidRDefault="00E2142C" w:rsidP="00E61EB7">
            <w:pPr>
              <w:spacing w:line="320" w:lineRule="exact"/>
              <w:ind w:left="254" w:hangingChars="106" w:hanging="254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2.堤頂90%以上</w:t>
            </w:r>
            <w:r w:rsidR="00043152">
              <w:rPr>
                <w:rFonts w:ascii="標楷體" w:eastAsia="標楷體" w:hAnsi="標楷體" w:hint="eastAsia"/>
                <w:color w:val="000000" w:themeColor="text1"/>
                <w:kern w:val="0"/>
              </w:rPr>
              <w:t>。</w:t>
            </w:r>
          </w:p>
        </w:tc>
      </w:tr>
      <w:tr w:rsidR="009C65B4" w:rsidRPr="009C65B4" w:rsidTr="000C52C8">
        <w:trPr>
          <w:trHeight w:val="2195"/>
        </w:trPr>
        <w:tc>
          <w:tcPr>
            <w:tcW w:w="70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42C" w:rsidRPr="009C65B4" w:rsidRDefault="00E2142C" w:rsidP="00FD19FD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工地密度試驗</w:t>
            </w:r>
          </w:p>
        </w:tc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CNS 14733</w:t>
            </w:r>
          </w:p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/>
                <w:color w:val="000000" w:themeColor="text1"/>
                <w:kern w:val="0"/>
              </w:rPr>
              <w:t>AASHTO T191</w:t>
            </w:r>
          </w:p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(含有粗粒料者以CNS 14732修正)</w:t>
            </w:r>
          </w:p>
        </w:tc>
        <w:tc>
          <w:tcPr>
            <w:tcW w:w="30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142C" w:rsidRPr="009C65B4" w:rsidRDefault="00E2142C" w:rsidP="003547F1">
            <w:pPr>
              <w:spacing w:line="32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每層滾壓完成後，每層數量以</w:t>
            </w:r>
            <w:r w:rsidRPr="009C65B4">
              <w:rPr>
                <w:rFonts w:ascii="標楷體" w:eastAsia="標楷體" w:hAnsi="標楷體"/>
                <w:color w:val="000000" w:themeColor="text1"/>
                <w:kern w:val="0"/>
              </w:rPr>
              <w:t>1,000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m</w:t>
            </w:r>
            <w:r w:rsidRPr="009C65B4">
              <w:rPr>
                <w:rFonts w:ascii="標楷體" w:eastAsia="標楷體" w:hAnsi="標楷體"/>
                <w:color w:val="000000" w:themeColor="text1"/>
                <w:kern w:val="0"/>
                <w:vertAlign w:val="superscript"/>
              </w:rPr>
              <w:t>2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為一批檢驗1次</w:t>
            </w:r>
            <w:r w:rsidR="003547F1"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，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餘數500m</w:t>
            </w:r>
            <w:r w:rsidRPr="009C65B4">
              <w:rPr>
                <w:rFonts w:ascii="標楷體" w:eastAsia="標楷體" w:hAnsi="標楷體"/>
                <w:color w:val="000000" w:themeColor="text1"/>
                <w:kern w:val="0"/>
                <w:vertAlign w:val="superscript"/>
              </w:rPr>
              <w:t>2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以下得併前一批檢驗；超過500m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vertAlign w:val="superscript"/>
              </w:rPr>
              <w:t>2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單獨為一批檢驗。</w:t>
            </w:r>
          </w:p>
        </w:tc>
        <w:tc>
          <w:tcPr>
            <w:tcW w:w="13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2142C" w:rsidRPr="009C65B4" w:rsidRDefault="00E2142C" w:rsidP="00FD19FD">
            <w:pPr>
              <w:spacing w:line="32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</w:tr>
    </w:tbl>
    <w:p w:rsidR="00E2142C" w:rsidRPr="009C65B4" w:rsidRDefault="00E2142C" w:rsidP="00E2142C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2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檢驗結果未符合規定時，繼續滾壓或以翻鬆灑水或翻曬晾乾後重新滾壓，以達到所規定之密度。</w:t>
      </w:r>
    </w:p>
    <w:p w:rsidR="00E2142C" w:rsidRPr="009C65B4" w:rsidRDefault="00E2142C" w:rsidP="00FD19FD">
      <w:pPr>
        <w:spacing w:beforeLines="50" w:before="120" w:line="440" w:lineRule="exact"/>
        <w:ind w:left="953" w:hanging="953"/>
        <w:outlineLvl w:val="1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3.3.</w:t>
      </w:r>
      <w:r w:rsidR="00D441B5">
        <w:rPr>
          <w:rFonts w:ascii="標楷體" w:eastAsia="標楷體" w:hAnsi="標楷體" w:hint="eastAsia"/>
          <w:color w:val="000000" w:themeColor="text1"/>
          <w:kern w:val="0"/>
          <w:sz w:val="26"/>
        </w:rPr>
        <w:t>3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 xml:space="preserve">  厚度檢驗</w:t>
      </w:r>
    </w:p>
    <w:p w:rsidR="00E2142C" w:rsidRPr="009C65B4" w:rsidRDefault="00E2142C" w:rsidP="00FD19FD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(1)檢測位置以隨機方式決定，檢測厚度所留洞孔，應以適當之材料填補夯實。</w:t>
      </w:r>
    </w:p>
    <w:p w:rsidR="00E2142C" w:rsidRPr="009C65B4" w:rsidRDefault="00E2142C" w:rsidP="00FD19FD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(2)檢驗頻率及標準，如下表：</w:t>
      </w:r>
    </w:p>
    <w:p w:rsidR="00E2142C" w:rsidRPr="009C65B4" w:rsidRDefault="00E2142C" w:rsidP="00E61EB7">
      <w:pPr>
        <w:spacing w:line="38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</w:p>
    <w:tbl>
      <w:tblPr>
        <w:tblStyle w:val="ab"/>
        <w:tblpPr w:leftFromText="180" w:rightFromText="180" w:vertAnchor="text" w:horzAnchor="margin" w:tblpXSpec="right" w:tblpY="-174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4"/>
        <w:gridCol w:w="2551"/>
        <w:gridCol w:w="4095"/>
      </w:tblGrid>
      <w:tr w:rsidR="009C65B4" w:rsidRPr="009C65B4" w:rsidTr="007205A5">
        <w:trPr>
          <w:trHeight w:val="415"/>
        </w:trPr>
        <w:tc>
          <w:tcPr>
            <w:tcW w:w="1434" w:type="dxa"/>
            <w:tcBorders>
              <w:top w:val="single" w:sz="12" w:space="0" w:color="auto"/>
              <w:bottom w:val="single" w:sz="6" w:space="0" w:color="auto"/>
            </w:tcBorders>
          </w:tcPr>
          <w:p w:rsidR="00E2142C" w:rsidRPr="009C65B4" w:rsidRDefault="00E2142C" w:rsidP="00FD19FD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檢驗項目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</w:tcPr>
          <w:p w:rsidR="00E2142C" w:rsidRPr="009C65B4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檢驗頻率</w:t>
            </w:r>
          </w:p>
        </w:tc>
        <w:tc>
          <w:tcPr>
            <w:tcW w:w="4095" w:type="dxa"/>
            <w:tcBorders>
              <w:top w:val="single" w:sz="12" w:space="0" w:color="auto"/>
              <w:bottom w:val="single" w:sz="6" w:space="0" w:color="auto"/>
            </w:tcBorders>
          </w:tcPr>
          <w:p w:rsidR="00E2142C" w:rsidRPr="009C65B4" w:rsidRDefault="00E2142C" w:rsidP="007205A5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檢驗標準</w:t>
            </w:r>
          </w:p>
        </w:tc>
      </w:tr>
      <w:tr w:rsidR="009C65B4" w:rsidRPr="009C65B4" w:rsidTr="007205A5">
        <w:trPr>
          <w:trHeight w:val="1523"/>
        </w:trPr>
        <w:tc>
          <w:tcPr>
            <w:tcW w:w="1434" w:type="dxa"/>
            <w:tcBorders>
              <w:top w:val="single" w:sz="12" w:space="0" w:color="auto"/>
            </w:tcBorders>
            <w:vAlign w:val="center"/>
          </w:tcPr>
          <w:p w:rsidR="00E2142C" w:rsidRPr="009C65B4" w:rsidRDefault="00E2142C" w:rsidP="007205A5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鋪築完成路面厚度檢驗</w:t>
            </w:r>
          </w:p>
        </w:tc>
        <w:tc>
          <w:tcPr>
            <w:tcW w:w="2551" w:type="dxa"/>
            <w:tcBorders>
              <w:top w:val="single" w:sz="12" w:space="0" w:color="auto"/>
            </w:tcBorders>
            <w:vAlign w:val="center"/>
          </w:tcPr>
          <w:p w:rsidR="00E2142C" w:rsidRPr="009C65B4" w:rsidRDefault="00E2142C" w:rsidP="007205A5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數量每</w:t>
            </w:r>
            <w:r w:rsidRPr="009C65B4"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  <w:t>1,000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m</w:t>
            </w:r>
            <w:r w:rsidRPr="009C65B4">
              <w:rPr>
                <w:rFonts w:ascii="標楷體" w:eastAsia="標楷體" w:hAnsi="標楷體"/>
                <w:color w:val="000000" w:themeColor="text1"/>
                <w:kern w:val="0"/>
                <w:sz w:val="26"/>
                <w:vertAlign w:val="superscript"/>
              </w:rPr>
              <w:t>2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為一批檢驗1次，餘數500m</w:t>
            </w:r>
            <w:r w:rsidRPr="009C65B4">
              <w:rPr>
                <w:rFonts w:ascii="標楷體" w:eastAsia="標楷體" w:hAnsi="標楷體"/>
                <w:color w:val="000000" w:themeColor="text1"/>
                <w:kern w:val="0"/>
                <w:sz w:val="26"/>
                <w:vertAlign w:val="superscript"/>
              </w:rPr>
              <w:t>2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</w:rPr>
              <w:t>以下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得併入前一批檢驗；超過500m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  <w:vertAlign w:val="superscript"/>
              </w:rPr>
              <w:t>2</w:t>
            </w: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單獨為一批檢驗</w:t>
            </w:r>
          </w:p>
        </w:tc>
        <w:tc>
          <w:tcPr>
            <w:tcW w:w="4095" w:type="dxa"/>
            <w:tcBorders>
              <w:top w:val="single" w:sz="12" w:space="0" w:color="auto"/>
            </w:tcBorders>
            <w:vAlign w:val="center"/>
          </w:tcPr>
          <w:p w:rsidR="00E2142C" w:rsidRPr="009C65B4" w:rsidRDefault="00E2142C" w:rsidP="007205A5">
            <w:pPr>
              <w:spacing w:line="340" w:lineRule="exact"/>
              <w:ind w:left="87" w:hanging="19"/>
              <w:jc w:val="both"/>
              <w:outlineLvl w:val="3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檢測厚度結果，應符合下列規定。</w:t>
            </w:r>
          </w:p>
          <w:p w:rsidR="00E2142C" w:rsidRPr="009C65B4" w:rsidRDefault="00E2142C" w:rsidP="007205A5">
            <w:pPr>
              <w:spacing w:line="340" w:lineRule="exact"/>
              <w:ind w:left="344" w:hanging="276"/>
              <w:jc w:val="both"/>
              <w:outlineLvl w:val="3"/>
              <w:rPr>
                <w:rFonts w:ascii="標楷體" w:eastAsia="標楷體" w:hAnsi="標楷體"/>
                <w:color w:val="000000" w:themeColor="text1"/>
                <w:kern w:val="0"/>
                <w:sz w:val="26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1.加總檢測厚度之平均值≧設計厚度。</w:t>
            </w:r>
          </w:p>
          <w:p w:rsidR="00E2142C" w:rsidRPr="009C65B4" w:rsidRDefault="00E2142C" w:rsidP="007205A5">
            <w:pPr>
              <w:spacing w:line="340" w:lineRule="exact"/>
              <w:ind w:left="344" w:hanging="276"/>
              <w:jc w:val="both"/>
              <w:outlineLvl w:val="3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9C65B4">
              <w:rPr>
                <w:rFonts w:ascii="標楷體" w:eastAsia="標楷體" w:hAnsi="標楷體" w:hint="eastAsia"/>
                <w:color w:val="000000" w:themeColor="text1"/>
                <w:kern w:val="0"/>
                <w:sz w:val="26"/>
              </w:rPr>
              <w:t>2.任一厚度值與設計厚度之容許誤差≦1.5cm。</w:t>
            </w:r>
          </w:p>
        </w:tc>
      </w:tr>
    </w:tbl>
    <w:p w:rsidR="00E2142C" w:rsidRPr="009C65B4" w:rsidRDefault="00E2142C" w:rsidP="00E2142C">
      <w:pPr>
        <w:spacing w:line="440" w:lineRule="exact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</w:p>
    <w:p w:rsidR="00E2142C" w:rsidRPr="009C65B4" w:rsidRDefault="00E2142C" w:rsidP="00E2142C">
      <w:pPr>
        <w:spacing w:line="440" w:lineRule="exact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</w:p>
    <w:p w:rsidR="00E2142C" w:rsidRPr="009C65B4" w:rsidRDefault="00E2142C" w:rsidP="00E2142C">
      <w:pPr>
        <w:spacing w:line="440" w:lineRule="exact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</w:p>
    <w:p w:rsidR="00E2142C" w:rsidRPr="009C65B4" w:rsidRDefault="00E2142C" w:rsidP="00E2142C">
      <w:pPr>
        <w:spacing w:line="440" w:lineRule="exact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</w:p>
    <w:p w:rsidR="00E2142C" w:rsidRPr="009C65B4" w:rsidRDefault="00E2142C" w:rsidP="00E2142C">
      <w:pPr>
        <w:spacing w:line="440" w:lineRule="exact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</w:p>
    <w:p w:rsidR="00E2142C" w:rsidRPr="009C65B4" w:rsidRDefault="00E2142C" w:rsidP="00F9766A">
      <w:pPr>
        <w:spacing w:line="440" w:lineRule="exact"/>
        <w:ind w:left="1344" w:hanging="391"/>
        <w:jc w:val="both"/>
        <w:outlineLvl w:val="3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(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3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)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檢測結果未符合規定時，應將其表面翻鬆後補充新料，並按規定重新滾壓後再取樣一點，檢驗壓實度(或相對密度)及厚度，檢驗結果按本章相關規定處理，其費用應由廠商負責。</w:t>
      </w:r>
    </w:p>
    <w:p w:rsidR="00E2142C" w:rsidRPr="00FD19FD" w:rsidRDefault="00E2142C" w:rsidP="00FD19FD">
      <w:pPr>
        <w:spacing w:beforeLines="50" w:before="120" w:line="440" w:lineRule="exact"/>
        <w:ind w:left="953" w:hanging="953"/>
        <w:outlineLvl w:val="1"/>
        <w:rPr>
          <w:rFonts w:ascii="標楷體" w:eastAsia="標楷體" w:hAnsi="標楷體"/>
          <w:b/>
          <w:color w:val="000000" w:themeColor="text1"/>
          <w:kern w:val="0"/>
          <w:sz w:val="26"/>
        </w:rPr>
      </w:pPr>
      <w:r w:rsidRPr="00FD19FD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3.4</w:t>
      </w:r>
      <w:r w:rsidRPr="00FD19FD">
        <w:rPr>
          <w:rFonts w:ascii="標楷體" w:eastAsia="標楷體" w:hAnsi="標楷體"/>
          <w:b/>
          <w:color w:val="000000" w:themeColor="text1"/>
          <w:kern w:val="0"/>
          <w:sz w:val="26"/>
        </w:rPr>
        <w:tab/>
      </w:r>
      <w:r w:rsidRPr="00FD19FD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抽驗機制</w:t>
      </w:r>
    </w:p>
    <w:p w:rsidR="00E2142C" w:rsidRPr="009C65B4" w:rsidRDefault="00E2142C" w:rsidP="00FD19FD">
      <w:pPr>
        <w:spacing w:line="440" w:lineRule="exact"/>
        <w:ind w:left="953" w:hanging="953"/>
        <w:outlineLvl w:val="1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3.4.1  材料施工中，如監造單位對其品質有疑慮時，得辦理抽驗本章2.2.1規定之檢驗項目，經抽驗合格者，其抽驗費用由機關支應；抽驗不合格者，已鋪設材料應予刨除並運離工地，其抽驗費用及相關損失由廠商負責。</w:t>
      </w:r>
    </w:p>
    <w:p w:rsidR="00E2142C" w:rsidRPr="009C65B4" w:rsidRDefault="00E2142C" w:rsidP="00FD19FD">
      <w:pPr>
        <w:spacing w:line="440" w:lineRule="exact"/>
        <w:ind w:left="953" w:hanging="953"/>
        <w:jc w:val="both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3.4.2  抽驗結果如雜質含量大於2%，已鋪設材料應予刨除並運離工地，其抽驗費用及相關損失由廠商負責。</w:t>
      </w:r>
    </w:p>
    <w:p w:rsidR="00E2142C" w:rsidRPr="00FD19FD" w:rsidRDefault="00E2142C" w:rsidP="00FD19FD">
      <w:pPr>
        <w:spacing w:beforeLines="50" w:before="120" w:line="440" w:lineRule="exact"/>
        <w:ind w:left="953" w:hanging="953"/>
        <w:outlineLvl w:val="1"/>
        <w:rPr>
          <w:rFonts w:ascii="標楷體" w:eastAsia="標楷體" w:hAnsi="標楷體"/>
          <w:b/>
          <w:color w:val="000000" w:themeColor="text1"/>
          <w:kern w:val="0"/>
          <w:sz w:val="26"/>
        </w:rPr>
      </w:pPr>
      <w:r w:rsidRPr="00FD19FD">
        <w:rPr>
          <w:rFonts w:ascii="標楷體" w:eastAsia="標楷體" w:hAnsi="標楷體"/>
          <w:b/>
          <w:color w:val="000000" w:themeColor="text1"/>
          <w:kern w:val="0"/>
          <w:sz w:val="26"/>
        </w:rPr>
        <w:t>3.</w:t>
      </w:r>
      <w:r w:rsidRPr="00FD19FD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5</w:t>
      </w:r>
      <w:r w:rsidRPr="00FD19FD">
        <w:rPr>
          <w:rFonts w:ascii="標楷體" w:eastAsia="標楷體" w:hAnsi="標楷體"/>
          <w:b/>
          <w:color w:val="000000" w:themeColor="text1"/>
          <w:kern w:val="0"/>
          <w:sz w:val="26"/>
        </w:rPr>
        <w:tab/>
      </w:r>
      <w:r w:rsidRPr="00FD19FD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維護</w:t>
      </w:r>
    </w:p>
    <w:p w:rsidR="00E2142C" w:rsidRPr="009C65B4" w:rsidRDefault="00E2142C" w:rsidP="00FD19FD">
      <w:pPr>
        <w:spacing w:line="440" w:lineRule="exact"/>
        <w:ind w:left="953" w:hanging="953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3.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5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.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1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已完成之底層應經常灑水保養，以防細料散失。</w:t>
      </w:r>
    </w:p>
    <w:p w:rsidR="00E2142C" w:rsidRPr="009C65B4" w:rsidRDefault="00E2142C" w:rsidP="00FD19FD">
      <w:pPr>
        <w:spacing w:line="440" w:lineRule="exact"/>
        <w:ind w:left="953" w:hanging="953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3.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5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.2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如底層於鋪設面層之前，發現有任何損壞或其他不良情況時，應重新整平滾壓。</w:t>
      </w:r>
    </w:p>
    <w:p w:rsidR="00E2142C" w:rsidRPr="00FD19FD" w:rsidRDefault="00E2142C" w:rsidP="00FD19FD">
      <w:pPr>
        <w:spacing w:beforeLines="100" w:before="240" w:line="440" w:lineRule="exact"/>
        <w:ind w:left="624" w:hanging="624"/>
        <w:outlineLvl w:val="0"/>
        <w:rPr>
          <w:rFonts w:ascii="標楷體" w:eastAsia="標楷體" w:hAnsi="標楷體"/>
          <w:b/>
          <w:color w:val="000000" w:themeColor="text1"/>
          <w:kern w:val="52"/>
          <w:sz w:val="32"/>
        </w:rPr>
      </w:pPr>
      <w:r w:rsidRPr="00FD19FD">
        <w:rPr>
          <w:rFonts w:ascii="標楷體" w:eastAsia="標楷體" w:hAnsi="標楷體"/>
          <w:b/>
          <w:color w:val="000000" w:themeColor="text1"/>
          <w:kern w:val="52"/>
          <w:sz w:val="32"/>
        </w:rPr>
        <w:t>4.</w:t>
      </w:r>
      <w:r w:rsidRPr="00FD19FD">
        <w:rPr>
          <w:rFonts w:ascii="標楷體" w:eastAsia="標楷體" w:hAnsi="標楷體"/>
          <w:b/>
          <w:color w:val="000000" w:themeColor="text1"/>
          <w:kern w:val="52"/>
          <w:sz w:val="32"/>
        </w:rPr>
        <w:tab/>
      </w:r>
      <w:r w:rsidR="00516A27">
        <w:rPr>
          <w:rFonts w:ascii="標楷體" w:eastAsia="標楷體" w:hAnsi="標楷體" w:hint="eastAsia"/>
          <w:b/>
          <w:color w:val="000000" w:themeColor="text1"/>
          <w:kern w:val="52"/>
          <w:sz w:val="32"/>
        </w:rPr>
        <w:t xml:space="preserve">  </w:t>
      </w:r>
      <w:r w:rsidRPr="00FD19FD">
        <w:rPr>
          <w:rFonts w:ascii="標楷體" w:eastAsia="標楷體" w:hAnsi="標楷體" w:hint="eastAsia"/>
          <w:b/>
          <w:color w:val="000000" w:themeColor="text1"/>
          <w:kern w:val="52"/>
          <w:sz w:val="32"/>
        </w:rPr>
        <w:t>計量與計價</w:t>
      </w:r>
    </w:p>
    <w:p w:rsidR="00E2142C" w:rsidRPr="00FD19FD" w:rsidRDefault="00E2142C" w:rsidP="00FD19FD">
      <w:pPr>
        <w:spacing w:beforeLines="50" w:before="120" w:line="440" w:lineRule="exact"/>
        <w:ind w:left="953" w:hanging="953"/>
        <w:outlineLvl w:val="1"/>
        <w:rPr>
          <w:rFonts w:ascii="標楷體" w:eastAsia="標楷體" w:hAnsi="標楷體"/>
          <w:b/>
          <w:color w:val="000000" w:themeColor="text1"/>
          <w:kern w:val="0"/>
          <w:sz w:val="26"/>
        </w:rPr>
      </w:pPr>
      <w:r w:rsidRPr="00FD19FD">
        <w:rPr>
          <w:rFonts w:ascii="標楷體" w:eastAsia="標楷體" w:hAnsi="標楷體"/>
          <w:b/>
          <w:color w:val="000000" w:themeColor="text1"/>
          <w:kern w:val="0"/>
          <w:sz w:val="26"/>
        </w:rPr>
        <w:t>4.1</w:t>
      </w:r>
      <w:r w:rsidRPr="00FD19FD">
        <w:rPr>
          <w:rFonts w:ascii="標楷體" w:eastAsia="標楷體" w:hAnsi="標楷體"/>
          <w:b/>
          <w:color w:val="000000" w:themeColor="text1"/>
          <w:kern w:val="0"/>
          <w:sz w:val="26"/>
        </w:rPr>
        <w:tab/>
      </w:r>
      <w:r w:rsidRPr="00FD19FD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計量</w:t>
      </w:r>
    </w:p>
    <w:p w:rsidR="00E2142C" w:rsidRPr="009C65B4" w:rsidRDefault="00E2142C" w:rsidP="00FD19FD">
      <w:pPr>
        <w:spacing w:line="440" w:lineRule="exact"/>
        <w:ind w:left="953" w:hanging="953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4.1.1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級配粒料底層依不同規格，按完工後經驗收合格之壓實數量，以m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  <w:vertAlign w:val="superscript"/>
        </w:rPr>
        <w:t>2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(加註厚度)，為單位計量。</w:t>
      </w:r>
    </w:p>
    <w:p w:rsidR="00E2142C" w:rsidRDefault="00E2142C" w:rsidP="00E2142C">
      <w:pPr>
        <w:spacing w:line="440" w:lineRule="exact"/>
        <w:ind w:left="953" w:hanging="953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4.1.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2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檢驗依契約詳細項目表計量。</w:t>
      </w:r>
    </w:p>
    <w:p w:rsidR="00FD19FD" w:rsidRPr="009C65B4" w:rsidRDefault="00FD19FD" w:rsidP="00E2142C">
      <w:pPr>
        <w:spacing w:line="440" w:lineRule="exact"/>
        <w:ind w:left="953" w:hanging="953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</w:p>
    <w:p w:rsidR="00E2142C" w:rsidRPr="00FD19FD" w:rsidRDefault="00E2142C" w:rsidP="00FD19FD">
      <w:pPr>
        <w:spacing w:beforeLines="50" w:before="120" w:line="440" w:lineRule="exact"/>
        <w:ind w:left="953" w:hanging="953"/>
        <w:outlineLvl w:val="1"/>
        <w:rPr>
          <w:rFonts w:ascii="標楷體" w:eastAsia="標楷體" w:hAnsi="標楷體"/>
          <w:b/>
          <w:color w:val="000000" w:themeColor="text1"/>
          <w:kern w:val="0"/>
          <w:sz w:val="26"/>
        </w:rPr>
      </w:pPr>
      <w:r w:rsidRPr="00FD19FD">
        <w:rPr>
          <w:rFonts w:ascii="標楷體" w:eastAsia="標楷體" w:hAnsi="標楷體"/>
          <w:b/>
          <w:color w:val="000000" w:themeColor="text1"/>
          <w:kern w:val="0"/>
          <w:sz w:val="26"/>
        </w:rPr>
        <w:t>4.2</w:t>
      </w:r>
      <w:r w:rsidRPr="00FD19FD">
        <w:rPr>
          <w:rFonts w:ascii="標楷體" w:eastAsia="標楷體" w:hAnsi="標楷體"/>
          <w:b/>
          <w:color w:val="000000" w:themeColor="text1"/>
          <w:kern w:val="0"/>
          <w:sz w:val="26"/>
        </w:rPr>
        <w:tab/>
      </w:r>
      <w:r w:rsidRPr="00FD19FD">
        <w:rPr>
          <w:rFonts w:ascii="標楷體" w:eastAsia="標楷體" w:hAnsi="標楷體" w:hint="eastAsia"/>
          <w:b/>
          <w:color w:val="000000" w:themeColor="text1"/>
          <w:kern w:val="0"/>
          <w:sz w:val="26"/>
        </w:rPr>
        <w:t>計價</w:t>
      </w:r>
    </w:p>
    <w:p w:rsidR="00E2142C" w:rsidRPr="009C65B4" w:rsidRDefault="00E2142C" w:rsidP="00FD19FD">
      <w:pPr>
        <w:spacing w:line="440" w:lineRule="exact"/>
        <w:ind w:left="953" w:hanging="953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4.2.1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依契約詳細價目表內所列不同材料規格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，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以m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  <w:vertAlign w:val="superscript"/>
        </w:rPr>
        <w:t>2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(加註厚度)，為單位計價。</w:t>
      </w:r>
    </w:p>
    <w:p w:rsidR="00E2142C" w:rsidRPr="009C65B4" w:rsidRDefault="00E2142C" w:rsidP="00FD19FD">
      <w:pPr>
        <w:spacing w:line="440" w:lineRule="exact"/>
        <w:ind w:left="953" w:hanging="953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4.2.2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該項單價已包括材料之供應、運輸、裝卸、散鋪、灑水、滾壓、刮平及為完成底層所需之一切人工、材料、機具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、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設備、動力、運輸及其他為完成本工作所需之費用在內。</w:t>
      </w:r>
    </w:p>
    <w:p w:rsidR="00E2142C" w:rsidRPr="009C65B4" w:rsidRDefault="00E2142C" w:rsidP="00FD19FD">
      <w:pPr>
        <w:spacing w:line="440" w:lineRule="exact"/>
        <w:ind w:left="953" w:hanging="953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4.2.3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ab/>
        <w:t>超出設計寬度及厚度所鋪設之任何部分均不予計價。</w:t>
      </w:r>
    </w:p>
    <w:p w:rsidR="00E2142C" w:rsidRPr="009C65B4" w:rsidRDefault="00E2142C" w:rsidP="00FD19FD">
      <w:pPr>
        <w:spacing w:line="440" w:lineRule="exact"/>
        <w:ind w:left="953" w:hanging="953"/>
        <w:outlineLvl w:val="2"/>
        <w:rPr>
          <w:rFonts w:ascii="標楷體" w:eastAsia="標楷體" w:hAnsi="標楷體"/>
          <w:color w:val="000000" w:themeColor="text1"/>
          <w:kern w:val="0"/>
          <w:sz w:val="26"/>
        </w:rPr>
      </w:pP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4.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2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>.</w:t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4</w:t>
      </w:r>
      <w:r w:rsidRPr="009C65B4">
        <w:rPr>
          <w:rFonts w:ascii="標楷體" w:eastAsia="標楷體" w:hAnsi="標楷體"/>
          <w:color w:val="000000" w:themeColor="text1"/>
          <w:kern w:val="0"/>
          <w:sz w:val="26"/>
        </w:rPr>
        <w:tab/>
      </w:r>
      <w:r w:rsidRPr="009C65B4">
        <w:rPr>
          <w:rFonts w:ascii="標楷體" w:eastAsia="標楷體" w:hAnsi="標楷體" w:hint="eastAsia"/>
          <w:color w:val="000000" w:themeColor="text1"/>
          <w:kern w:val="0"/>
          <w:sz w:val="26"/>
        </w:rPr>
        <w:t>檢驗單價包括完成檢驗之計價。人工、材料、機具、設備、動力、運輸及其他為完成本工作所必需之費用在內。</w:t>
      </w:r>
    </w:p>
    <w:p w:rsidR="00550C56" w:rsidRPr="009C65B4" w:rsidRDefault="00E2142C" w:rsidP="00DB6483">
      <w:pPr>
        <w:spacing w:beforeLines="100" w:before="240" w:line="440" w:lineRule="exact"/>
        <w:jc w:val="center"/>
        <w:rPr>
          <w:rFonts w:ascii="標楷體" w:eastAsia="標楷體" w:hAnsi="標楷體"/>
          <w:color w:val="000000" w:themeColor="text1"/>
          <w:sz w:val="26"/>
        </w:rPr>
      </w:pPr>
      <w:r w:rsidRPr="009C65B4">
        <w:rPr>
          <w:rFonts w:ascii="標楷體" w:eastAsia="標楷體" w:hAnsi="標楷體"/>
          <w:color w:val="000000" w:themeColor="text1"/>
          <w:sz w:val="26"/>
        </w:rPr>
        <w:t>&lt;</w:t>
      </w:r>
      <w:r w:rsidRPr="009C65B4">
        <w:rPr>
          <w:rFonts w:ascii="標楷體" w:eastAsia="標楷體" w:hAnsi="標楷體" w:hint="eastAsia"/>
          <w:color w:val="000000" w:themeColor="text1"/>
          <w:sz w:val="26"/>
        </w:rPr>
        <w:t>本章結束</w:t>
      </w:r>
      <w:r w:rsidRPr="009C65B4">
        <w:rPr>
          <w:rFonts w:ascii="標楷體" w:eastAsia="標楷體" w:hAnsi="標楷體"/>
          <w:color w:val="000000" w:themeColor="text1"/>
          <w:sz w:val="26"/>
        </w:rPr>
        <w:t xml:space="preserve"> &gt;</w:t>
      </w:r>
    </w:p>
    <w:sectPr w:rsidR="00550C56" w:rsidRPr="009C65B4">
      <w:footerReference w:type="even" r:id="rId8"/>
      <w:footerReference w:type="default" r:id="rId9"/>
      <w:pgSz w:w="11907" w:h="16840" w:code="9"/>
      <w:pgMar w:top="1418" w:right="1418" w:bottom="1418" w:left="1418" w:header="340" w:footer="907" w:gutter="0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688" w:rsidRDefault="00722688">
      <w:r>
        <w:separator/>
      </w:r>
    </w:p>
  </w:endnote>
  <w:endnote w:type="continuationSeparator" w:id="0">
    <w:p w:rsidR="00722688" w:rsidRDefault="0072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文新字海-粗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C56" w:rsidRDefault="00550C56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8</w:t>
    </w:r>
    <w:r>
      <w:rPr>
        <w:rStyle w:val="a4"/>
      </w:rPr>
      <w:fldChar w:fldCharType="end"/>
    </w:r>
  </w:p>
  <w:p w:rsidR="00550C56" w:rsidRDefault="00550C5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C56" w:rsidRDefault="00550C56">
    <w:pPr>
      <w:pStyle w:val="a8"/>
      <w:framePr w:w="511" w:h="371" w:hRule="exact" w:wrap="around" w:vAnchor="text" w:hAnchor="page" w:x="6099" w:y="-56"/>
      <w:rPr>
        <w:rStyle w:val="a4"/>
        <w:rFonts w:ascii="Arial Unicode MS" w:eastAsia="Arial Unicode MS"/>
        <w:sz w:val="22"/>
      </w:rPr>
    </w:pPr>
    <w:r>
      <w:rPr>
        <w:rStyle w:val="a4"/>
        <w:rFonts w:ascii="Arial Unicode MS" w:eastAsia="Arial Unicode MS"/>
        <w:sz w:val="22"/>
      </w:rPr>
      <w:fldChar w:fldCharType="begin"/>
    </w:r>
    <w:r>
      <w:rPr>
        <w:rStyle w:val="a4"/>
        <w:rFonts w:ascii="Arial Unicode MS" w:eastAsia="Arial Unicode MS"/>
        <w:sz w:val="22"/>
      </w:rPr>
      <w:instrText xml:space="preserve">PAGE  </w:instrText>
    </w:r>
    <w:r>
      <w:rPr>
        <w:rStyle w:val="a4"/>
        <w:rFonts w:ascii="Arial Unicode MS" w:eastAsia="Arial Unicode MS"/>
        <w:sz w:val="22"/>
      </w:rPr>
      <w:fldChar w:fldCharType="separate"/>
    </w:r>
    <w:r w:rsidR="00841C3E">
      <w:rPr>
        <w:rStyle w:val="a4"/>
        <w:rFonts w:ascii="Arial Unicode MS" w:eastAsia="Arial Unicode MS"/>
        <w:noProof/>
        <w:sz w:val="22"/>
      </w:rPr>
      <w:t>1</w:t>
    </w:r>
    <w:r>
      <w:rPr>
        <w:rStyle w:val="a4"/>
        <w:rFonts w:ascii="Arial Unicode MS" w:eastAsia="Arial Unicode MS"/>
        <w:sz w:val="22"/>
      </w:rPr>
      <w:fldChar w:fldCharType="end"/>
    </w:r>
  </w:p>
  <w:p w:rsidR="00550C56" w:rsidRDefault="00550C56">
    <w:pPr>
      <w:pStyle w:val="a8"/>
      <w:tabs>
        <w:tab w:val="clear" w:pos="9072"/>
        <w:tab w:val="left" w:pos="0"/>
        <w:tab w:val="decimal" w:pos="4500"/>
        <w:tab w:val="right" w:pos="9000"/>
      </w:tabs>
      <w:rPr>
        <w:rStyle w:val="a4"/>
        <w:rFonts w:ascii="Arial" w:eastAsia="Arial Unicode MS" w:hAnsi="Arial"/>
      </w:rPr>
    </w:pPr>
    <w:r>
      <w:rPr>
        <w:rFonts w:eastAsia="Arial Unicode MS" w:hint="eastAsia"/>
      </w:rPr>
      <w:t>WRA</w:t>
    </w:r>
    <w:r>
      <w:rPr>
        <w:rFonts w:eastAsia="Arial Unicode MS"/>
      </w:rPr>
      <w:t>0</w:t>
    </w:r>
    <w:r>
      <w:rPr>
        <w:rFonts w:eastAsia="Arial Unicode MS" w:hint="eastAsia"/>
      </w:rPr>
      <w:t>2726</w:t>
    </w:r>
    <w:r>
      <w:rPr>
        <w:rStyle w:val="a4"/>
        <w:rFonts w:ascii="Arial" w:eastAsia="Arial Unicode MS" w:hAnsi="Arial"/>
      </w:rPr>
      <w:tab/>
      <w:t>02726-</w:t>
    </w:r>
    <w:r>
      <w:rPr>
        <w:rStyle w:val="a4"/>
        <w:rFonts w:ascii="Arial" w:eastAsia="Arial Unicode MS" w:hAnsi="Arial" w:hint="eastAsia"/>
      </w:rPr>
      <w:tab/>
    </w:r>
    <w:r>
      <w:rPr>
        <w:rStyle w:val="a4"/>
        <w:rFonts w:ascii="Arial" w:eastAsia="Arial Unicode MS" w:hAnsi="Arial"/>
        <w:sz w:val="24"/>
      </w:rPr>
      <w:t>V1</w:t>
    </w:r>
    <w:r>
      <w:rPr>
        <w:rStyle w:val="a4"/>
        <w:rFonts w:ascii="Arial" w:eastAsia="Arial Unicode MS" w:hAnsi="Arial" w:hint="eastAsia"/>
        <w:sz w:val="24"/>
      </w:rPr>
      <w:t>.0</w:t>
    </w:r>
    <w:r>
      <w:rPr>
        <w:rStyle w:val="a4"/>
        <w:rFonts w:ascii="Arial" w:eastAsia="Arial Unicode MS" w:hAnsi="Arial"/>
        <w:sz w:val="24"/>
      </w:rPr>
      <w:t xml:space="preserve"> </w:t>
    </w:r>
    <w:r>
      <w:rPr>
        <w:rStyle w:val="a4"/>
        <w:rFonts w:ascii="Arial" w:eastAsia="Arial Unicode MS" w:hAnsi="Arial" w:hint="eastAsia"/>
        <w:sz w:val="24"/>
      </w:rPr>
      <w:t xml:space="preserve"> </w:t>
    </w:r>
    <w:r>
      <w:rPr>
        <w:rStyle w:val="a4"/>
        <w:rFonts w:ascii="Arial" w:eastAsia="Arial Unicode MS" w:hAnsi="Arial" w:hint="eastAsia"/>
      </w:rPr>
      <w:t>20</w:t>
    </w:r>
    <w:r w:rsidR="005F3983">
      <w:rPr>
        <w:rStyle w:val="a4"/>
        <w:rFonts w:ascii="Arial" w:eastAsia="Arial Unicode MS" w:hAnsi="Arial" w:hint="eastAsia"/>
      </w:rPr>
      <w:t>16</w:t>
    </w:r>
    <w:r>
      <w:rPr>
        <w:rStyle w:val="a4"/>
        <w:rFonts w:ascii="Arial" w:eastAsia="Arial Unicode MS" w:hAnsi="Arial" w:hint="eastAsia"/>
      </w:rPr>
      <w:t>/</w:t>
    </w:r>
    <w:r w:rsidR="005F3983">
      <w:rPr>
        <w:rStyle w:val="a4"/>
        <w:rFonts w:ascii="Arial" w:eastAsia="Arial Unicode MS" w:hAnsi="Arial" w:hint="eastAsia"/>
      </w:rPr>
      <w:t>01</w:t>
    </w:r>
    <w:r>
      <w:rPr>
        <w:rStyle w:val="a4"/>
        <w:rFonts w:ascii="Arial" w:eastAsia="Arial Unicode MS" w:hAnsi="Arial" w:hint="eastAsia"/>
      </w:rPr>
      <w:t>/</w:t>
    </w:r>
    <w:r w:rsidR="005F3983">
      <w:rPr>
        <w:rStyle w:val="a4"/>
        <w:rFonts w:ascii="Arial" w:eastAsia="Arial Unicode MS" w:hAnsi="Arial" w:hint="eastAsia"/>
      </w:rPr>
      <w:t>0</w:t>
    </w:r>
    <w:r w:rsidR="00AE2E88">
      <w:rPr>
        <w:rStyle w:val="a4"/>
        <w:rFonts w:ascii="Arial" w:eastAsia="Arial Unicode MS" w:hAnsi="Arial" w:hint="eastAsia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688" w:rsidRDefault="00722688">
      <w:r>
        <w:separator/>
      </w:r>
    </w:p>
  </w:footnote>
  <w:footnote w:type="continuationSeparator" w:id="0">
    <w:p w:rsidR="00722688" w:rsidRDefault="00722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66463"/>
    <w:multiLevelType w:val="hybridMultilevel"/>
    <w:tmpl w:val="727C9104"/>
    <w:lvl w:ilvl="0" w:tplc="99C47426">
      <w:start w:val="1"/>
      <w:numFmt w:val="decimal"/>
      <w:lvlText w:val="(%1)"/>
      <w:lvlJc w:val="left"/>
      <w:pPr>
        <w:ind w:left="360" w:hanging="360"/>
      </w:pPr>
      <w:rPr>
        <w:rFonts w:hAnsi="CG Times (W1)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2A47EBD"/>
    <w:multiLevelType w:val="singleLevel"/>
    <w:tmpl w:val="B4F837BE"/>
    <w:lvl w:ilvl="0">
      <w:start w:val="1"/>
      <w:numFmt w:val="decimal"/>
      <w:lvlText w:val="(%1)"/>
      <w:lvlJc w:val="left"/>
      <w:pPr>
        <w:tabs>
          <w:tab w:val="num" w:pos="1035"/>
        </w:tabs>
        <w:ind w:left="1035" w:hanging="525"/>
      </w:pPr>
      <w:rPr>
        <w:rFonts w:ascii="文新字海-粗楷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D9"/>
    <w:rsid w:val="00043152"/>
    <w:rsid w:val="0008172C"/>
    <w:rsid w:val="000C2753"/>
    <w:rsid w:val="000C52C8"/>
    <w:rsid w:val="000E5547"/>
    <w:rsid w:val="0012445F"/>
    <w:rsid w:val="001D468A"/>
    <w:rsid w:val="00225B90"/>
    <w:rsid w:val="003547F1"/>
    <w:rsid w:val="00516A27"/>
    <w:rsid w:val="00550C56"/>
    <w:rsid w:val="00556565"/>
    <w:rsid w:val="005D4A7B"/>
    <w:rsid w:val="005F3983"/>
    <w:rsid w:val="00630681"/>
    <w:rsid w:val="00656E97"/>
    <w:rsid w:val="00660885"/>
    <w:rsid w:val="00694D50"/>
    <w:rsid w:val="00722688"/>
    <w:rsid w:val="00765456"/>
    <w:rsid w:val="007D7D5F"/>
    <w:rsid w:val="008236F7"/>
    <w:rsid w:val="00825192"/>
    <w:rsid w:val="00841C3E"/>
    <w:rsid w:val="009C65B4"/>
    <w:rsid w:val="00AE2E88"/>
    <w:rsid w:val="00AF10B0"/>
    <w:rsid w:val="00B04B74"/>
    <w:rsid w:val="00B95D0E"/>
    <w:rsid w:val="00BF5F6F"/>
    <w:rsid w:val="00CA4199"/>
    <w:rsid w:val="00D139D9"/>
    <w:rsid w:val="00D441B5"/>
    <w:rsid w:val="00DB6483"/>
    <w:rsid w:val="00E2142C"/>
    <w:rsid w:val="00E279B0"/>
    <w:rsid w:val="00E477A9"/>
    <w:rsid w:val="00E61EB7"/>
    <w:rsid w:val="00E94B8C"/>
    <w:rsid w:val="00F9766A"/>
    <w:rsid w:val="00FB5289"/>
    <w:rsid w:val="00FD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textAlignment w:val="baseline"/>
    </w:pPr>
    <w:rPr>
      <w:kern w:val="2"/>
      <w:sz w:val="24"/>
    </w:rPr>
  </w:style>
  <w:style w:type="paragraph" w:styleId="1">
    <w:name w:val="heading 1"/>
    <w:basedOn w:val="a"/>
    <w:next w:val="2"/>
    <w:qFormat/>
    <w:pPr>
      <w:spacing w:before="180" w:after="120" w:line="720" w:lineRule="atLeast"/>
      <w:ind w:left="624" w:hanging="624"/>
      <w:outlineLvl w:val="0"/>
    </w:pPr>
    <w:rPr>
      <w:rFonts w:ascii="標楷體" w:eastAsia="標楷體" w:hAnsi="CG Times (W1)"/>
      <w:kern w:val="52"/>
      <w:sz w:val="32"/>
    </w:rPr>
  </w:style>
  <w:style w:type="paragraph" w:styleId="2">
    <w:name w:val="heading 2"/>
    <w:basedOn w:val="a"/>
    <w:next w:val="3"/>
    <w:qFormat/>
    <w:pPr>
      <w:spacing w:before="120" w:after="120" w:line="480" w:lineRule="atLeast"/>
      <w:ind w:left="953" w:hanging="953"/>
      <w:outlineLvl w:val="1"/>
    </w:pPr>
    <w:rPr>
      <w:rFonts w:ascii="標楷體" w:eastAsia="標楷體" w:hAnsi="CG Times (W1)"/>
      <w:kern w:val="0"/>
      <w:sz w:val="26"/>
    </w:rPr>
  </w:style>
  <w:style w:type="paragraph" w:styleId="3">
    <w:name w:val="heading 3"/>
    <w:basedOn w:val="2"/>
    <w:qFormat/>
    <w:pPr>
      <w:spacing w:before="0" w:after="0"/>
      <w:outlineLvl w:val="2"/>
    </w:pPr>
  </w:style>
  <w:style w:type="paragraph" w:styleId="4">
    <w:name w:val="heading 4"/>
    <w:basedOn w:val="2"/>
    <w:qFormat/>
    <w:pPr>
      <w:spacing w:before="0" w:after="0"/>
      <w:ind w:left="1475" w:hanging="522"/>
      <w:outlineLvl w:val="3"/>
    </w:pPr>
  </w:style>
  <w:style w:type="paragraph" w:styleId="5">
    <w:name w:val="heading 5"/>
    <w:basedOn w:val="2"/>
    <w:qFormat/>
    <w:pPr>
      <w:spacing w:before="0" w:after="0"/>
      <w:ind w:left="1996" w:hanging="522"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480"/>
    </w:pPr>
  </w:style>
  <w:style w:type="character" w:styleId="a4">
    <w:name w:val="page number"/>
    <w:basedOn w:val="a0"/>
    <w:rPr>
      <w:rFonts w:ascii="新細明體" w:eastAsia="新細明體" w:hAnsi="新細明體"/>
    </w:rPr>
  </w:style>
  <w:style w:type="paragraph" w:customStyle="1" w:styleId="a5">
    <w:name w:val="章節"/>
    <w:pPr>
      <w:widowControl w:val="0"/>
      <w:adjustRightInd w:val="0"/>
      <w:spacing w:before="240" w:after="360" w:line="320" w:lineRule="atLeast"/>
      <w:jc w:val="center"/>
      <w:textAlignment w:val="baseline"/>
    </w:pPr>
    <w:rPr>
      <w:rFonts w:ascii="Arial"/>
      <w:b/>
      <w:sz w:val="30"/>
    </w:rPr>
  </w:style>
  <w:style w:type="paragraph" w:customStyle="1" w:styleId="10">
    <w:name w:val="內文1"/>
    <w:pPr>
      <w:widowControl w:val="0"/>
      <w:adjustRightInd w:val="0"/>
      <w:spacing w:line="480" w:lineRule="atLeast"/>
      <w:ind w:left="624"/>
      <w:textAlignment w:val="baseline"/>
    </w:pPr>
    <w:rPr>
      <w:rFonts w:ascii="文新字海-粗楷" w:eastAsia="文新字海-粗楷" w:hAnsi="CG Times (W1)"/>
      <w:sz w:val="26"/>
    </w:rPr>
  </w:style>
  <w:style w:type="paragraph" w:customStyle="1" w:styleId="20">
    <w:name w:val="內文2"/>
    <w:basedOn w:val="10"/>
    <w:pPr>
      <w:ind w:left="953"/>
    </w:pPr>
    <w:rPr>
      <w:rFonts w:ascii="標楷體" w:eastAsia="標楷體"/>
    </w:rPr>
  </w:style>
  <w:style w:type="paragraph" w:customStyle="1" w:styleId="0">
    <w:name w:val="內文0"/>
    <w:pPr>
      <w:widowControl w:val="0"/>
      <w:pBdr>
        <w:top w:val="dotted" w:sz="6" w:space="1" w:color="auto" w:shadow="1"/>
        <w:left w:val="dotted" w:sz="6" w:space="1" w:color="auto" w:shadow="1"/>
        <w:bottom w:val="dotted" w:sz="6" w:space="1" w:color="auto" w:shadow="1"/>
        <w:right w:val="dotted" w:sz="6" w:space="1" w:color="auto" w:shadow="1"/>
      </w:pBdr>
      <w:adjustRightInd w:val="0"/>
      <w:spacing w:before="60" w:after="60" w:line="460" w:lineRule="atLeast"/>
      <w:ind w:firstLine="510"/>
      <w:jc w:val="both"/>
      <w:textAlignment w:val="baseline"/>
    </w:pPr>
    <w:rPr>
      <w:rFonts w:eastAsia="文新字海-粗楷"/>
      <w:sz w:val="26"/>
    </w:rPr>
  </w:style>
  <w:style w:type="paragraph" w:customStyle="1" w:styleId="2-1">
    <w:name w:val="標題2-1"/>
    <w:basedOn w:val="3"/>
    <w:next w:val="2-2"/>
    <w:pPr>
      <w:ind w:left="1417" w:hanging="510"/>
      <w:outlineLvl w:val="9"/>
    </w:pPr>
    <w:rPr>
      <w:rFonts w:ascii="Times New Roman"/>
    </w:rPr>
  </w:style>
  <w:style w:type="paragraph" w:customStyle="1" w:styleId="2-2">
    <w:name w:val="標題2-2"/>
    <w:basedOn w:val="4"/>
    <w:pPr>
      <w:ind w:left="2439" w:hanging="1021"/>
      <w:outlineLvl w:val="9"/>
    </w:pPr>
  </w:style>
  <w:style w:type="paragraph" w:customStyle="1" w:styleId="30">
    <w:name w:val="內文3"/>
    <w:basedOn w:val="20"/>
  </w:style>
  <w:style w:type="paragraph" w:customStyle="1" w:styleId="a6">
    <w:name w:val="表名"/>
    <w:basedOn w:val="a"/>
    <w:pPr>
      <w:spacing w:before="240" w:after="120" w:line="360" w:lineRule="atLeast"/>
      <w:ind w:left="567" w:firstLine="357"/>
      <w:jc w:val="center"/>
    </w:pPr>
    <w:rPr>
      <w:rFonts w:ascii="文新字海-粗黑" w:eastAsia="文新字海-粗黑"/>
      <w:kern w:val="0"/>
      <w:sz w:val="26"/>
    </w:rPr>
  </w:style>
  <w:style w:type="paragraph" w:customStyle="1" w:styleId="a7">
    <w:name w:val="表格"/>
    <w:next w:val="a"/>
    <w:pPr>
      <w:widowControl w:val="0"/>
      <w:adjustRightInd w:val="0"/>
      <w:spacing w:line="200" w:lineRule="atLeast"/>
      <w:jc w:val="center"/>
      <w:textAlignment w:val="baseline"/>
    </w:pPr>
    <w:rPr>
      <w:rFonts w:ascii="文新字海-粗楷" w:eastAsia="文新字海-粗楷"/>
      <w:sz w:val="24"/>
    </w:rPr>
  </w:style>
  <w:style w:type="paragraph" w:customStyle="1" w:styleId="2-3">
    <w:name w:val="標題2-3"/>
    <w:basedOn w:val="2-2"/>
    <w:next w:val="2-4"/>
    <w:pPr>
      <w:ind w:left="1928" w:hanging="510"/>
    </w:pPr>
  </w:style>
  <w:style w:type="paragraph" w:customStyle="1" w:styleId="2-4">
    <w:name w:val="標題2-4"/>
    <w:basedOn w:val="2-3"/>
    <w:pPr>
      <w:ind w:left="2438"/>
    </w:pPr>
  </w:style>
  <w:style w:type="paragraph" w:customStyle="1" w:styleId="40">
    <w:name w:val="內文4"/>
    <w:basedOn w:val="20"/>
    <w:pPr>
      <w:ind w:left="1474"/>
    </w:pPr>
  </w:style>
  <w:style w:type="paragraph" w:styleId="a8">
    <w:name w:val="footer"/>
    <w:basedOn w:val="a"/>
    <w:next w:val="a"/>
    <w:pPr>
      <w:tabs>
        <w:tab w:val="right" w:pos="9072"/>
      </w:tabs>
      <w:spacing w:line="200" w:lineRule="atLeast"/>
      <w:jc w:val="both"/>
    </w:pPr>
    <w:rPr>
      <w:rFonts w:ascii="Arial" w:eastAsia="細明體" w:hAnsi="Arial"/>
      <w:kern w:val="0"/>
      <w:sz w:val="20"/>
    </w:rPr>
  </w:style>
  <w:style w:type="paragraph" w:styleId="a9">
    <w:name w:val="header"/>
    <w:basedOn w:val="a"/>
    <w:pPr>
      <w:tabs>
        <w:tab w:val="center" w:pos="4153"/>
        <w:tab w:val="right" w:pos="8306"/>
      </w:tabs>
      <w:spacing w:line="360" w:lineRule="atLeast"/>
      <w:jc w:val="center"/>
    </w:pPr>
    <w:rPr>
      <w:kern w:val="0"/>
      <w:sz w:val="20"/>
    </w:rPr>
  </w:style>
  <w:style w:type="paragraph" w:customStyle="1" w:styleId="50">
    <w:name w:val="內文5"/>
    <w:basedOn w:val="20"/>
    <w:pPr>
      <w:ind w:left="1996"/>
    </w:pPr>
  </w:style>
  <w:style w:type="paragraph" w:styleId="aa">
    <w:name w:val="Body Text Indent"/>
    <w:basedOn w:val="a"/>
    <w:pPr>
      <w:ind w:leftChars="600" w:left="1440"/>
    </w:pPr>
    <w:rPr>
      <w:rFonts w:eastAsia="標楷體"/>
      <w:sz w:val="26"/>
    </w:rPr>
  </w:style>
  <w:style w:type="table" w:styleId="ab">
    <w:name w:val="Table Grid"/>
    <w:basedOn w:val="a1"/>
    <w:rsid w:val="00E2142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.1"/>
    <w:basedOn w:val="a"/>
    <w:rsid w:val="00E2142C"/>
    <w:pPr>
      <w:adjustRightInd/>
      <w:spacing w:line="500" w:lineRule="exact"/>
      <w:ind w:left="964" w:hanging="964"/>
      <w:jc w:val="both"/>
      <w:textAlignment w:val="center"/>
    </w:pPr>
    <w:rPr>
      <w:rFonts w:ascii="標楷體" w:eastAsia="標楷體"/>
      <w:sz w:val="26"/>
    </w:rPr>
  </w:style>
  <w:style w:type="paragraph" w:styleId="ac">
    <w:name w:val="List Paragraph"/>
    <w:basedOn w:val="a"/>
    <w:uiPriority w:val="34"/>
    <w:qFormat/>
    <w:rsid w:val="00E2142C"/>
    <w:pPr>
      <w:adjustRightInd/>
      <w:ind w:leftChars="200" w:left="480"/>
      <w:textAlignment w:val="auto"/>
    </w:pPr>
    <w:rPr>
      <w:rFonts w:eastAsia="標楷體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textAlignment w:val="baseline"/>
    </w:pPr>
    <w:rPr>
      <w:kern w:val="2"/>
      <w:sz w:val="24"/>
    </w:rPr>
  </w:style>
  <w:style w:type="paragraph" w:styleId="1">
    <w:name w:val="heading 1"/>
    <w:basedOn w:val="a"/>
    <w:next w:val="2"/>
    <w:qFormat/>
    <w:pPr>
      <w:spacing w:before="180" w:after="120" w:line="720" w:lineRule="atLeast"/>
      <w:ind w:left="624" w:hanging="624"/>
      <w:outlineLvl w:val="0"/>
    </w:pPr>
    <w:rPr>
      <w:rFonts w:ascii="標楷體" w:eastAsia="標楷體" w:hAnsi="CG Times (W1)"/>
      <w:kern w:val="52"/>
      <w:sz w:val="32"/>
    </w:rPr>
  </w:style>
  <w:style w:type="paragraph" w:styleId="2">
    <w:name w:val="heading 2"/>
    <w:basedOn w:val="a"/>
    <w:next w:val="3"/>
    <w:qFormat/>
    <w:pPr>
      <w:spacing w:before="120" w:after="120" w:line="480" w:lineRule="atLeast"/>
      <w:ind w:left="953" w:hanging="953"/>
      <w:outlineLvl w:val="1"/>
    </w:pPr>
    <w:rPr>
      <w:rFonts w:ascii="標楷體" w:eastAsia="標楷體" w:hAnsi="CG Times (W1)"/>
      <w:kern w:val="0"/>
      <w:sz w:val="26"/>
    </w:rPr>
  </w:style>
  <w:style w:type="paragraph" w:styleId="3">
    <w:name w:val="heading 3"/>
    <w:basedOn w:val="2"/>
    <w:qFormat/>
    <w:pPr>
      <w:spacing w:before="0" w:after="0"/>
      <w:outlineLvl w:val="2"/>
    </w:pPr>
  </w:style>
  <w:style w:type="paragraph" w:styleId="4">
    <w:name w:val="heading 4"/>
    <w:basedOn w:val="2"/>
    <w:qFormat/>
    <w:pPr>
      <w:spacing w:before="0" w:after="0"/>
      <w:ind w:left="1475" w:hanging="522"/>
      <w:outlineLvl w:val="3"/>
    </w:pPr>
  </w:style>
  <w:style w:type="paragraph" w:styleId="5">
    <w:name w:val="heading 5"/>
    <w:basedOn w:val="2"/>
    <w:qFormat/>
    <w:pPr>
      <w:spacing w:before="0" w:after="0"/>
      <w:ind w:left="1996" w:hanging="522"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480"/>
    </w:pPr>
  </w:style>
  <w:style w:type="character" w:styleId="a4">
    <w:name w:val="page number"/>
    <w:basedOn w:val="a0"/>
    <w:rPr>
      <w:rFonts w:ascii="新細明體" w:eastAsia="新細明體" w:hAnsi="新細明體"/>
    </w:rPr>
  </w:style>
  <w:style w:type="paragraph" w:customStyle="1" w:styleId="a5">
    <w:name w:val="章節"/>
    <w:pPr>
      <w:widowControl w:val="0"/>
      <w:adjustRightInd w:val="0"/>
      <w:spacing w:before="240" w:after="360" w:line="320" w:lineRule="atLeast"/>
      <w:jc w:val="center"/>
      <w:textAlignment w:val="baseline"/>
    </w:pPr>
    <w:rPr>
      <w:rFonts w:ascii="Arial"/>
      <w:b/>
      <w:sz w:val="30"/>
    </w:rPr>
  </w:style>
  <w:style w:type="paragraph" w:customStyle="1" w:styleId="10">
    <w:name w:val="內文1"/>
    <w:pPr>
      <w:widowControl w:val="0"/>
      <w:adjustRightInd w:val="0"/>
      <w:spacing w:line="480" w:lineRule="atLeast"/>
      <w:ind w:left="624"/>
      <w:textAlignment w:val="baseline"/>
    </w:pPr>
    <w:rPr>
      <w:rFonts w:ascii="文新字海-粗楷" w:eastAsia="文新字海-粗楷" w:hAnsi="CG Times (W1)"/>
      <w:sz w:val="26"/>
    </w:rPr>
  </w:style>
  <w:style w:type="paragraph" w:customStyle="1" w:styleId="20">
    <w:name w:val="內文2"/>
    <w:basedOn w:val="10"/>
    <w:pPr>
      <w:ind w:left="953"/>
    </w:pPr>
    <w:rPr>
      <w:rFonts w:ascii="標楷體" w:eastAsia="標楷體"/>
    </w:rPr>
  </w:style>
  <w:style w:type="paragraph" w:customStyle="1" w:styleId="0">
    <w:name w:val="內文0"/>
    <w:pPr>
      <w:widowControl w:val="0"/>
      <w:pBdr>
        <w:top w:val="dotted" w:sz="6" w:space="1" w:color="auto" w:shadow="1"/>
        <w:left w:val="dotted" w:sz="6" w:space="1" w:color="auto" w:shadow="1"/>
        <w:bottom w:val="dotted" w:sz="6" w:space="1" w:color="auto" w:shadow="1"/>
        <w:right w:val="dotted" w:sz="6" w:space="1" w:color="auto" w:shadow="1"/>
      </w:pBdr>
      <w:adjustRightInd w:val="0"/>
      <w:spacing w:before="60" w:after="60" w:line="460" w:lineRule="atLeast"/>
      <w:ind w:firstLine="510"/>
      <w:jc w:val="both"/>
      <w:textAlignment w:val="baseline"/>
    </w:pPr>
    <w:rPr>
      <w:rFonts w:eastAsia="文新字海-粗楷"/>
      <w:sz w:val="26"/>
    </w:rPr>
  </w:style>
  <w:style w:type="paragraph" w:customStyle="1" w:styleId="2-1">
    <w:name w:val="標題2-1"/>
    <w:basedOn w:val="3"/>
    <w:next w:val="2-2"/>
    <w:pPr>
      <w:ind w:left="1417" w:hanging="510"/>
      <w:outlineLvl w:val="9"/>
    </w:pPr>
    <w:rPr>
      <w:rFonts w:ascii="Times New Roman"/>
    </w:rPr>
  </w:style>
  <w:style w:type="paragraph" w:customStyle="1" w:styleId="2-2">
    <w:name w:val="標題2-2"/>
    <w:basedOn w:val="4"/>
    <w:pPr>
      <w:ind w:left="2439" w:hanging="1021"/>
      <w:outlineLvl w:val="9"/>
    </w:pPr>
  </w:style>
  <w:style w:type="paragraph" w:customStyle="1" w:styleId="30">
    <w:name w:val="內文3"/>
    <w:basedOn w:val="20"/>
  </w:style>
  <w:style w:type="paragraph" w:customStyle="1" w:styleId="a6">
    <w:name w:val="表名"/>
    <w:basedOn w:val="a"/>
    <w:pPr>
      <w:spacing w:before="240" w:after="120" w:line="360" w:lineRule="atLeast"/>
      <w:ind w:left="567" w:firstLine="357"/>
      <w:jc w:val="center"/>
    </w:pPr>
    <w:rPr>
      <w:rFonts w:ascii="文新字海-粗黑" w:eastAsia="文新字海-粗黑"/>
      <w:kern w:val="0"/>
      <w:sz w:val="26"/>
    </w:rPr>
  </w:style>
  <w:style w:type="paragraph" w:customStyle="1" w:styleId="a7">
    <w:name w:val="表格"/>
    <w:next w:val="a"/>
    <w:pPr>
      <w:widowControl w:val="0"/>
      <w:adjustRightInd w:val="0"/>
      <w:spacing w:line="200" w:lineRule="atLeast"/>
      <w:jc w:val="center"/>
      <w:textAlignment w:val="baseline"/>
    </w:pPr>
    <w:rPr>
      <w:rFonts w:ascii="文新字海-粗楷" w:eastAsia="文新字海-粗楷"/>
      <w:sz w:val="24"/>
    </w:rPr>
  </w:style>
  <w:style w:type="paragraph" w:customStyle="1" w:styleId="2-3">
    <w:name w:val="標題2-3"/>
    <w:basedOn w:val="2-2"/>
    <w:next w:val="2-4"/>
    <w:pPr>
      <w:ind w:left="1928" w:hanging="510"/>
    </w:pPr>
  </w:style>
  <w:style w:type="paragraph" w:customStyle="1" w:styleId="2-4">
    <w:name w:val="標題2-4"/>
    <w:basedOn w:val="2-3"/>
    <w:pPr>
      <w:ind w:left="2438"/>
    </w:pPr>
  </w:style>
  <w:style w:type="paragraph" w:customStyle="1" w:styleId="40">
    <w:name w:val="內文4"/>
    <w:basedOn w:val="20"/>
    <w:pPr>
      <w:ind w:left="1474"/>
    </w:pPr>
  </w:style>
  <w:style w:type="paragraph" w:styleId="a8">
    <w:name w:val="footer"/>
    <w:basedOn w:val="a"/>
    <w:next w:val="a"/>
    <w:pPr>
      <w:tabs>
        <w:tab w:val="right" w:pos="9072"/>
      </w:tabs>
      <w:spacing w:line="200" w:lineRule="atLeast"/>
      <w:jc w:val="both"/>
    </w:pPr>
    <w:rPr>
      <w:rFonts w:ascii="Arial" w:eastAsia="細明體" w:hAnsi="Arial"/>
      <w:kern w:val="0"/>
      <w:sz w:val="20"/>
    </w:rPr>
  </w:style>
  <w:style w:type="paragraph" w:styleId="a9">
    <w:name w:val="header"/>
    <w:basedOn w:val="a"/>
    <w:pPr>
      <w:tabs>
        <w:tab w:val="center" w:pos="4153"/>
        <w:tab w:val="right" w:pos="8306"/>
      </w:tabs>
      <w:spacing w:line="360" w:lineRule="atLeast"/>
      <w:jc w:val="center"/>
    </w:pPr>
    <w:rPr>
      <w:kern w:val="0"/>
      <w:sz w:val="20"/>
    </w:rPr>
  </w:style>
  <w:style w:type="paragraph" w:customStyle="1" w:styleId="50">
    <w:name w:val="內文5"/>
    <w:basedOn w:val="20"/>
    <w:pPr>
      <w:ind w:left="1996"/>
    </w:pPr>
  </w:style>
  <w:style w:type="paragraph" w:styleId="aa">
    <w:name w:val="Body Text Indent"/>
    <w:basedOn w:val="a"/>
    <w:pPr>
      <w:ind w:leftChars="600" w:left="1440"/>
    </w:pPr>
    <w:rPr>
      <w:rFonts w:eastAsia="標楷體"/>
      <w:sz w:val="26"/>
    </w:rPr>
  </w:style>
  <w:style w:type="table" w:styleId="ab">
    <w:name w:val="Table Grid"/>
    <w:basedOn w:val="a1"/>
    <w:rsid w:val="00E2142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.1"/>
    <w:basedOn w:val="a"/>
    <w:rsid w:val="00E2142C"/>
    <w:pPr>
      <w:adjustRightInd/>
      <w:spacing w:line="500" w:lineRule="exact"/>
      <w:ind w:left="964" w:hanging="964"/>
      <w:jc w:val="both"/>
      <w:textAlignment w:val="center"/>
    </w:pPr>
    <w:rPr>
      <w:rFonts w:ascii="標楷體" w:eastAsia="標楷體"/>
      <w:sz w:val="26"/>
    </w:rPr>
  </w:style>
  <w:style w:type="paragraph" w:styleId="ac">
    <w:name w:val="List Paragraph"/>
    <w:basedOn w:val="a"/>
    <w:uiPriority w:val="34"/>
    <w:qFormat/>
    <w:rsid w:val="00E2142C"/>
    <w:pPr>
      <w:adjustRightInd/>
      <w:ind w:leftChars="200" w:left="480"/>
      <w:textAlignment w:val="auto"/>
    </w:pPr>
    <w:rPr>
      <w:rFonts w:eastAsia="標楷體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699</Words>
  <Characters>3988</Characters>
  <Application>Microsoft Office Word</Application>
  <DocSecurity>0</DocSecurity>
  <Lines>33</Lines>
  <Paragraphs>9</Paragraphs>
  <ScaleCrop>false</ScaleCrop>
  <Company>ceci</Company>
  <LinksUpToDate>false</LinksUpToDate>
  <CharactersWithSpaces>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第02726章</dc:title>
  <dc:creator>18281</dc:creator>
  <cp:lastModifiedBy>陳若琳</cp:lastModifiedBy>
  <cp:revision>16</cp:revision>
  <cp:lastPrinted>2005-04-13T08:37:00Z</cp:lastPrinted>
  <dcterms:created xsi:type="dcterms:W3CDTF">2016-01-05T03:01:00Z</dcterms:created>
  <dcterms:modified xsi:type="dcterms:W3CDTF">2016-01-06T09:13:00Z</dcterms:modified>
</cp:coreProperties>
</file>